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B9" w:rsidRPr="00243881" w:rsidRDefault="00372311" w:rsidP="00EC6A54">
      <w:pPr>
        <w:spacing w:after="0" w:line="240" w:lineRule="auto"/>
        <w:jc w:val="center"/>
        <w:rPr>
          <w:rFonts w:asciiTheme="minorHAnsi" w:hAnsiTheme="minorHAnsi" w:cstheme="minorHAnsi"/>
          <w:b/>
          <w:sz w:val="28"/>
          <w:szCs w:val="28"/>
        </w:rPr>
      </w:pPr>
      <w:r w:rsidRPr="00243881">
        <w:rPr>
          <w:rFonts w:asciiTheme="minorHAnsi" w:hAnsiTheme="minorHAnsi" w:cstheme="minorHAnsi"/>
          <w:b/>
          <w:sz w:val="28"/>
          <w:szCs w:val="28"/>
        </w:rPr>
        <w:t xml:space="preserve">Creating an environment conducive to the conduct of </w:t>
      </w:r>
    </w:p>
    <w:p w:rsidR="00372311" w:rsidRPr="00243881" w:rsidRDefault="00372311" w:rsidP="00EC6A54">
      <w:pPr>
        <w:spacing w:after="0" w:line="240" w:lineRule="auto"/>
        <w:jc w:val="center"/>
        <w:rPr>
          <w:rFonts w:asciiTheme="minorHAnsi" w:hAnsiTheme="minorHAnsi" w:cstheme="minorHAnsi"/>
          <w:b/>
          <w:sz w:val="28"/>
          <w:szCs w:val="28"/>
        </w:rPr>
      </w:pPr>
      <w:r w:rsidRPr="00243881">
        <w:rPr>
          <w:rFonts w:asciiTheme="minorHAnsi" w:hAnsiTheme="minorHAnsi" w:cstheme="minorHAnsi"/>
          <w:b/>
          <w:sz w:val="28"/>
          <w:szCs w:val="28"/>
        </w:rPr>
        <w:t>peaceful elections</w:t>
      </w:r>
      <w:r w:rsidR="00D71951" w:rsidRPr="00243881">
        <w:rPr>
          <w:rFonts w:asciiTheme="minorHAnsi" w:hAnsiTheme="minorHAnsi" w:cstheme="minorHAnsi"/>
          <w:b/>
          <w:sz w:val="28"/>
          <w:szCs w:val="28"/>
        </w:rPr>
        <w:t xml:space="preserve"> </w:t>
      </w:r>
      <w:r w:rsidRPr="00243881">
        <w:rPr>
          <w:rFonts w:asciiTheme="minorHAnsi" w:hAnsiTheme="minorHAnsi" w:cstheme="minorHAnsi"/>
          <w:b/>
          <w:sz w:val="28"/>
          <w:szCs w:val="28"/>
        </w:rPr>
        <w:t>in 2015</w:t>
      </w:r>
      <w:r w:rsidR="00F76AAC" w:rsidRPr="00243881">
        <w:rPr>
          <w:rFonts w:asciiTheme="minorHAnsi" w:hAnsiTheme="minorHAnsi" w:cstheme="minorHAnsi"/>
          <w:b/>
          <w:sz w:val="28"/>
          <w:szCs w:val="28"/>
        </w:rPr>
        <w:t xml:space="preserve"> and beyond</w:t>
      </w:r>
    </w:p>
    <w:p w:rsidR="00EC6A54" w:rsidRPr="00936CE3" w:rsidRDefault="00EC6A54" w:rsidP="00EC6A54">
      <w:pPr>
        <w:spacing w:after="0" w:line="240" w:lineRule="auto"/>
        <w:jc w:val="both"/>
        <w:rPr>
          <w:rFonts w:asciiTheme="minorHAnsi" w:hAnsiTheme="minorHAnsi" w:cstheme="minorHAnsi"/>
          <w:b/>
          <w:lang w:val="en-GB"/>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Overarching Purpose</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7"/>
        </w:numPr>
        <w:autoSpaceDE w:val="0"/>
        <w:autoSpaceDN w:val="0"/>
        <w:adjustRightInd w:val="0"/>
        <w:spacing w:after="0" w:line="240" w:lineRule="auto"/>
        <w:ind w:left="0" w:firstLine="0"/>
        <w:contextualSpacing w:val="0"/>
        <w:jc w:val="both"/>
        <w:rPr>
          <w:rFonts w:asciiTheme="minorHAnsi" w:hAnsiTheme="minorHAnsi" w:cstheme="minorHAnsi"/>
          <w:lang w:val="en-GB"/>
        </w:rPr>
      </w:pPr>
      <w:r w:rsidRPr="00936CE3">
        <w:rPr>
          <w:rFonts w:asciiTheme="minorHAnsi" w:hAnsiTheme="minorHAnsi" w:cstheme="minorHAnsi"/>
          <w:lang w:val="en-GB"/>
        </w:rPr>
        <w:t xml:space="preserve">The purpose </w:t>
      </w:r>
      <w:r w:rsidR="00097D2F" w:rsidRPr="00936CE3">
        <w:rPr>
          <w:rFonts w:asciiTheme="minorHAnsi" w:hAnsiTheme="minorHAnsi" w:cstheme="minorHAnsi"/>
          <w:lang w:val="en-GB"/>
        </w:rPr>
        <w:t xml:space="preserve">of this initiative </w:t>
      </w:r>
      <w:r w:rsidRPr="00936CE3">
        <w:rPr>
          <w:rFonts w:asciiTheme="minorHAnsi" w:hAnsiTheme="minorHAnsi" w:cstheme="minorHAnsi"/>
          <w:lang w:val="en-GB"/>
        </w:rPr>
        <w:t xml:space="preserve">is to </w:t>
      </w:r>
      <w:r w:rsidR="00035CE9" w:rsidRPr="00936CE3">
        <w:rPr>
          <w:rFonts w:asciiTheme="minorHAnsi" w:hAnsiTheme="minorHAnsi" w:cstheme="minorHAnsi"/>
          <w:lang w:val="en-GB"/>
        </w:rPr>
        <w:t xml:space="preserve">build on national efforts in reviewing </w:t>
      </w:r>
      <w:r w:rsidR="0063071C">
        <w:rPr>
          <w:rFonts w:asciiTheme="minorHAnsi" w:hAnsiTheme="minorHAnsi" w:cstheme="minorHAnsi"/>
          <w:lang w:val="en-GB"/>
        </w:rPr>
        <w:t xml:space="preserve">and drawing lessons from </w:t>
      </w:r>
      <w:r w:rsidR="00035CE9" w:rsidRPr="00936CE3">
        <w:rPr>
          <w:rFonts w:asciiTheme="minorHAnsi" w:hAnsiTheme="minorHAnsi" w:cstheme="minorHAnsi"/>
          <w:lang w:val="en-GB"/>
        </w:rPr>
        <w:t xml:space="preserve">the 2010 electoral process and assist </w:t>
      </w:r>
      <w:r w:rsidR="000B7913" w:rsidRPr="00936CE3">
        <w:rPr>
          <w:rFonts w:asciiTheme="minorHAnsi" w:hAnsiTheme="minorHAnsi" w:cstheme="minorHAnsi"/>
          <w:lang w:val="en-GB"/>
        </w:rPr>
        <w:t xml:space="preserve">stakeholders </w:t>
      </w:r>
      <w:r w:rsidR="00035CE9" w:rsidRPr="00936CE3">
        <w:rPr>
          <w:rFonts w:asciiTheme="minorHAnsi" w:hAnsiTheme="minorHAnsi" w:cstheme="minorHAnsi"/>
          <w:lang w:val="en-GB"/>
        </w:rPr>
        <w:t>in d</w:t>
      </w:r>
      <w:r w:rsidR="000B7913" w:rsidRPr="00936CE3">
        <w:rPr>
          <w:rFonts w:asciiTheme="minorHAnsi" w:hAnsiTheme="minorHAnsi" w:cstheme="minorHAnsi"/>
          <w:lang w:val="en-GB"/>
        </w:rPr>
        <w:t>eveloping a</w:t>
      </w:r>
      <w:r w:rsidR="00035CE9" w:rsidRPr="00936CE3">
        <w:rPr>
          <w:rFonts w:asciiTheme="minorHAnsi" w:hAnsiTheme="minorHAnsi" w:cstheme="minorHAnsi"/>
          <w:lang w:val="en-GB"/>
        </w:rPr>
        <w:t xml:space="preserve"> roadmap </w:t>
      </w:r>
      <w:r w:rsidR="00097D2F" w:rsidRPr="00936CE3">
        <w:rPr>
          <w:rFonts w:asciiTheme="minorHAnsi" w:hAnsiTheme="minorHAnsi" w:cstheme="minorHAnsi"/>
          <w:lang w:val="en-GB"/>
        </w:rPr>
        <w:t>towards</w:t>
      </w:r>
      <w:r w:rsidR="00035CE9" w:rsidRPr="00936CE3">
        <w:rPr>
          <w:rFonts w:asciiTheme="minorHAnsi" w:hAnsiTheme="minorHAnsi" w:cstheme="minorHAnsi"/>
          <w:lang w:val="en-GB"/>
        </w:rPr>
        <w:t xml:space="preserve"> the organization of </w:t>
      </w:r>
      <w:r w:rsidR="0063071C">
        <w:rPr>
          <w:rFonts w:asciiTheme="minorHAnsi" w:hAnsiTheme="minorHAnsi" w:cstheme="minorHAnsi"/>
          <w:lang w:val="en-GB"/>
        </w:rPr>
        <w:t xml:space="preserve">free, fair and transparent </w:t>
      </w:r>
      <w:r w:rsidR="00035CE9" w:rsidRPr="00936CE3">
        <w:rPr>
          <w:rFonts w:asciiTheme="minorHAnsi" w:hAnsiTheme="minorHAnsi" w:cstheme="minorHAnsi"/>
          <w:lang w:val="en-GB"/>
        </w:rPr>
        <w:t xml:space="preserve">2015 elections through forums of discussions. </w:t>
      </w:r>
    </w:p>
    <w:p w:rsidR="00CB36C3" w:rsidRPr="00936CE3" w:rsidRDefault="00CB36C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lang w:val="en-GB"/>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Context</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7"/>
        </w:numPr>
        <w:autoSpaceDE w:val="0"/>
        <w:autoSpaceDN w:val="0"/>
        <w:adjustRightInd w:val="0"/>
        <w:spacing w:after="0" w:line="240" w:lineRule="auto"/>
        <w:ind w:left="0" w:firstLine="0"/>
        <w:contextualSpacing w:val="0"/>
        <w:jc w:val="both"/>
        <w:rPr>
          <w:rFonts w:asciiTheme="minorHAnsi" w:hAnsiTheme="minorHAnsi" w:cstheme="minorHAnsi"/>
          <w:lang w:val="en-GB"/>
        </w:rPr>
      </w:pPr>
      <w:r w:rsidRPr="00936CE3">
        <w:rPr>
          <w:rFonts w:asciiTheme="minorHAnsi" w:hAnsiTheme="minorHAnsi" w:cstheme="minorHAnsi"/>
          <w:lang w:val="en-GB"/>
        </w:rPr>
        <w:t xml:space="preserve">Burundi organized its second post-conflict multi-party elections between May and September 2010. The third such elections are due in 2015. </w:t>
      </w:r>
    </w:p>
    <w:p w:rsidR="00CB36C3" w:rsidRPr="00936CE3" w:rsidRDefault="00CB36C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lang w:val="en-GB"/>
        </w:rPr>
      </w:pPr>
    </w:p>
    <w:p w:rsidR="00CB36C3" w:rsidRPr="00936CE3" w:rsidRDefault="00A41703" w:rsidP="00EC6A54">
      <w:pPr>
        <w:pStyle w:val="ListParagraph"/>
        <w:widowControl w:val="0"/>
        <w:numPr>
          <w:ilvl w:val="0"/>
          <w:numId w:val="17"/>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 xml:space="preserve">Following the communal elections in May 2010, a group of </w:t>
      </w:r>
      <w:r w:rsidR="00321C74" w:rsidRPr="00936CE3">
        <w:rPr>
          <w:rFonts w:asciiTheme="minorHAnsi" w:hAnsiTheme="minorHAnsi" w:cstheme="minorHAnsi"/>
          <w:lang w:val="en-GB"/>
        </w:rPr>
        <w:t>12 opposition political parties –</w:t>
      </w:r>
      <w:r w:rsidRPr="00936CE3">
        <w:rPr>
          <w:rFonts w:asciiTheme="minorHAnsi" w:hAnsiTheme="minorHAnsi" w:cstheme="minorHAnsi"/>
          <w:lang w:val="en-GB"/>
        </w:rPr>
        <w:t xml:space="preserve"> including FNL, </w:t>
      </w:r>
      <w:r w:rsidRPr="00936CE3">
        <w:rPr>
          <w:rFonts w:asciiTheme="minorHAnsi" w:hAnsiTheme="minorHAnsi" w:cstheme="minorHAnsi"/>
          <w:i/>
          <w:lang w:val="en-GB"/>
        </w:rPr>
        <w:t>Sahwanya</w:t>
      </w:r>
      <w:r w:rsidR="00321C74" w:rsidRPr="00936CE3">
        <w:rPr>
          <w:rFonts w:asciiTheme="minorHAnsi" w:hAnsiTheme="minorHAnsi" w:cstheme="minorHAnsi"/>
          <w:lang w:val="en-GB"/>
        </w:rPr>
        <w:t xml:space="preserve">-FRODEBU, CNDD, MSD and UPD – </w:t>
      </w:r>
      <w:r w:rsidRPr="00936CE3">
        <w:rPr>
          <w:rFonts w:asciiTheme="minorHAnsi" w:hAnsiTheme="minorHAnsi" w:cstheme="minorHAnsi"/>
          <w:lang w:val="en-GB"/>
        </w:rPr>
        <w:t xml:space="preserve">rejected the results, alleging massive fraud and irregularities. The group questioned the neutrality of the Independent National Electoral Commission </w:t>
      </w:r>
      <w:r w:rsidR="00D878C3" w:rsidRPr="00936CE3">
        <w:rPr>
          <w:rFonts w:asciiTheme="minorHAnsi" w:hAnsiTheme="minorHAnsi" w:cstheme="minorHAnsi"/>
          <w:lang w:val="en-GB"/>
        </w:rPr>
        <w:t xml:space="preserve">(CENI) </w:t>
      </w:r>
      <w:r w:rsidRPr="00936CE3">
        <w:rPr>
          <w:rFonts w:asciiTheme="minorHAnsi" w:hAnsiTheme="minorHAnsi" w:cstheme="minorHAnsi"/>
          <w:lang w:val="en-GB"/>
        </w:rPr>
        <w:t>and called for the communal polls</w:t>
      </w:r>
      <w:r w:rsidR="00321C74" w:rsidRPr="00936CE3">
        <w:rPr>
          <w:rFonts w:asciiTheme="minorHAnsi" w:hAnsiTheme="minorHAnsi" w:cstheme="minorHAnsi"/>
          <w:lang w:val="en-GB"/>
        </w:rPr>
        <w:t xml:space="preserve"> to be re-held</w:t>
      </w:r>
      <w:r w:rsidRPr="00936CE3">
        <w:rPr>
          <w:rFonts w:asciiTheme="minorHAnsi" w:hAnsiTheme="minorHAnsi" w:cstheme="minorHAnsi"/>
          <w:lang w:val="en-GB"/>
        </w:rPr>
        <w:t xml:space="preserve">. National and international observers, however, declared that the elections had been conducted in conformity with international </w:t>
      </w:r>
      <w:r w:rsidR="00D878C3" w:rsidRPr="00936CE3">
        <w:rPr>
          <w:rFonts w:asciiTheme="minorHAnsi" w:hAnsiTheme="minorHAnsi" w:cstheme="minorHAnsi"/>
          <w:lang w:val="en-GB"/>
        </w:rPr>
        <w:t>standards</w:t>
      </w:r>
      <w:r w:rsidR="00321C74" w:rsidRPr="00936CE3">
        <w:rPr>
          <w:rFonts w:asciiTheme="minorHAnsi" w:hAnsiTheme="minorHAnsi" w:cstheme="minorHAnsi"/>
          <w:lang w:val="en-GB"/>
        </w:rPr>
        <w:t xml:space="preserve"> and </w:t>
      </w:r>
      <w:r w:rsidRPr="00936CE3">
        <w:rPr>
          <w:rFonts w:asciiTheme="minorHAnsi" w:hAnsiTheme="minorHAnsi" w:cstheme="minorHAnsi"/>
          <w:lang w:val="en-GB"/>
        </w:rPr>
        <w:t xml:space="preserve">noted that any irregularities observed had not been significant enough to bring into question the credibility of the results.  </w:t>
      </w:r>
      <w:r w:rsidRPr="00936CE3">
        <w:rPr>
          <w:rFonts w:asciiTheme="minorHAnsi" w:hAnsiTheme="minorHAnsi" w:cstheme="minorHAnsi"/>
        </w:rPr>
        <w:t xml:space="preserve">On 7 June, the 12 parties </w:t>
      </w:r>
      <w:r w:rsidR="00481737" w:rsidRPr="00936CE3">
        <w:rPr>
          <w:rFonts w:asciiTheme="minorHAnsi" w:hAnsiTheme="minorHAnsi" w:cstheme="minorHAnsi"/>
        </w:rPr>
        <w:t xml:space="preserve">formed a platform </w:t>
      </w:r>
      <w:r w:rsidRPr="00936CE3">
        <w:rPr>
          <w:rFonts w:asciiTheme="minorHAnsi" w:hAnsiTheme="minorHAnsi" w:cstheme="minorHAnsi"/>
        </w:rPr>
        <w:t xml:space="preserve">as the </w:t>
      </w:r>
      <w:r w:rsidRPr="00936CE3">
        <w:rPr>
          <w:rFonts w:asciiTheme="minorHAnsi" w:hAnsiTheme="minorHAnsi" w:cstheme="minorHAnsi"/>
          <w:i/>
        </w:rPr>
        <w:t>Alliance démocratique pour le changement-Ikibiri</w:t>
      </w:r>
      <w:r w:rsidRPr="00936CE3">
        <w:rPr>
          <w:rFonts w:asciiTheme="minorHAnsi" w:hAnsiTheme="minorHAnsi" w:cstheme="minorHAnsi"/>
        </w:rPr>
        <w:t xml:space="preserve"> (ADC-Ikibiri)</w:t>
      </w:r>
      <w:r w:rsidR="00321C74" w:rsidRPr="00936CE3">
        <w:rPr>
          <w:rFonts w:asciiTheme="minorHAnsi" w:hAnsiTheme="minorHAnsi" w:cstheme="minorHAnsi"/>
        </w:rPr>
        <w:t xml:space="preserve"> and boycotted the remaining rounds of elections</w:t>
      </w:r>
      <w:r w:rsidRPr="00936CE3">
        <w:rPr>
          <w:rFonts w:asciiTheme="minorHAnsi" w:hAnsiTheme="minorHAnsi" w:cstheme="minorHAnsi"/>
        </w:rPr>
        <w:t>.</w:t>
      </w:r>
      <w:r w:rsidRPr="00936CE3">
        <w:rPr>
          <w:rFonts w:asciiTheme="minorHAnsi" w:hAnsiTheme="minorHAnsi" w:cstheme="minorHAnsi"/>
          <w:lang w:val="en-GB"/>
        </w:rPr>
        <w:t xml:space="preserve">  Subsequently, the leaders of a number of the parties left Burundi, maintaining that they no longer felt secure.  They remain outside Burundi today, to the detriment of Burundi’s still fragile political landscape, and rendering critical political institutions </w:t>
      </w:r>
      <w:r w:rsidRPr="00936CE3">
        <w:rPr>
          <w:rFonts w:asciiTheme="minorHAnsi" w:hAnsiTheme="minorHAnsi" w:cstheme="minorHAnsi"/>
        </w:rPr>
        <w:t xml:space="preserve">less </w:t>
      </w:r>
      <w:r w:rsidR="00321C74" w:rsidRPr="00936CE3">
        <w:rPr>
          <w:rFonts w:asciiTheme="minorHAnsi" w:hAnsiTheme="minorHAnsi" w:cstheme="minorHAnsi"/>
        </w:rPr>
        <w:t xml:space="preserve">broadly </w:t>
      </w:r>
      <w:r w:rsidRPr="00936CE3">
        <w:rPr>
          <w:rFonts w:asciiTheme="minorHAnsi" w:hAnsiTheme="minorHAnsi" w:cstheme="minorHAnsi"/>
        </w:rPr>
        <w:t xml:space="preserve">representative than they were in 2005.  </w:t>
      </w:r>
    </w:p>
    <w:p w:rsidR="00CB36C3" w:rsidRPr="00936CE3" w:rsidRDefault="00CB36C3" w:rsidP="00EC6A54">
      <w:pPr>
        <w:pStyle w:val="ListParagraph"/>
        <w:spacing w:after="0" w:line="240" w:lineRule="auto"/>
        <w:rPr>
          <w:rFonts w:asciiTheme="minorHAnsi" w:hAnsiTheme="minorHAnsi" w:cstheme="minorHAnsi"/>
          <w:lang w:val="en-GB"/>
        </w:rPr>
      </w:pPr>
    </w:p>
    <w:p w:rsidR="00CB36C3" w:rsidRPr="00936CE3" w:rsidRDefault="00DE1171" w:rsidP="00EC6A54">
      <w:pPr>
        <w:pStyle w:val="ListParagraph"/>
        <w:widowControl w:val="0"/>
        <w:numPr>
          <w:ilvl w:val="0"/>
          <w:numId w:val="17"/>
        </w:numPr>
        <w:autoSpaceDE w:val="0"/>
        <w:autoSpaceDN w:val="0"/>
        <w:adjustRightInd w:val="0"/>
        <w:spacing w:after="0" w:line="240" w:lineRule="auto"/>
        <w:ind w:left="0" w:firstLine="0"/>
        <w:contextualSpacing w:val="0"/>
        <w:jc w:val="both"/>
        <w:rPr>
          <w:rFonts w:asciiTheme="minorHAnsi" w:hAnsiTheme="minorHAnsi" w:cstheme="minorHAnsi"/>
          <w:lang w:val="en-GB"/>
        </w:rPr>
      </w:pPr>
      <w:r w:rsidRPr="00936CE3">
        <w:rPr>
          <w:rFonts w:asciiTheme="minorHAnsi" w:hAnsiTheme="minorHAnsi" w:cstheme="minorHAnsi"/>
          <w:lang w:val="en-GB"/>
        </w:rPr>
        <w:t xml:space="preserve">With the midpoint between the 2010 elections and those anticipated for 2015, the moment </w:t>
      </w:r>
      <w:r w:rsidR="00321C74" w:rsidRPr="00936CE3">
        <w:rPr>
          <w:rFonts w:asciiTheme="minorHAnsi" w:hAnsiTheme="minorHAnsi" w:cstheme="minorHAnsi"/>
          <w:lang w:val="en-GB"/>
        </w:rPr>
        <w:t>is</w:t>
      </w:r>
      <w:r w:rsidRPr="00936CE3">
        <w:rPr>
          <w:rFonts w:asciiTheme="minorHAnsi" w:hAnsiTheme="minorHAnsi" w:cstheme="minorHAnsi"/>
          <w:lang w:val="en-GB"/>
        </w:rPr>
        <w:t xml:space="preserve"> fast approaching for all </w:t>
      </w:r>
      <w:r w:rsidR="0063071C">
        <w:rPr>
          <w:rFonts w:asciiTheme="minorHAnsi" w:hAnsiTheme="minorHAnsi" w:cstheme="minorHAnsi"/>
          <w:lang w:val="en-GB"/>
        </w:rPr>
        <w:t xml:space="preserve">national </w:t>
      </w:r>
      <w:r w:rsidRPr="00936CE3">
        <w:rPr>
          <w:rFonts w:asciiTheme="minorHAnsi" w:hAnsiTheme="minorHAnsi" w:cstheme="minorHAnsi"/>
          <w:lang w:val="en-GB"/>
        </w:rPr>
        <w:t>stakeholders</w:t>
      </w:r>
      <w:r w:rsidR="0063071C">
        <w:rPr>
          <w:rFonts w:asciiTheme="minorHAnsi" w:hAnsiTheme="minorHAnsi" w:cstheme="minorHAnsi"/>
          <w:lang w:val="en-GB"/>
        </w:rPr>
        <w:t xml:space="preserve"> with the support of their international partners</w:t>
      </w:r>
      <w:r w:rsidR="00731796">
        <w:rPr>
          <w:rFonts w:asciiTheme="minorHAnsi" w:hAnsiTheme="minorHAnsi" w:cstheme="minorHAnsi"/>
          <w:lang w:val="en-GB"/>
        </w:rPr>
        <w:t xml:space="preserve"> participation</w:t>
      </w:r>
      <w:r w:rsidRPr="00936CE3">
        <w:rPr>
          <w:rFonts w:asciiTheme="minorHAnsi" w:hAnsiTheme="minorHAnsi" w:cstheme="minorHAnsi"/>
          <w:lang w:val="en-GB"/>
        </w:rPr>
        <w:t xml:space="preserve">to take stock of the experience of </w:t>
      </w:r>
      <w:r w:rsidR="00F76AAC" w:rsidRPr="00936CE3">
        <w:rPr>
          <w:rFonts w:asciiTheme="minorHAnsi" w:hAnsiTheme="minorHAnsi" w:cstheme="minorHAnsi"/>
          <w:lang w:val="en-GB"/>
        </w:rPr>
        <w:t xml:space="preserve">both </w:t>
      </w:r>
      <w:r w:rsidRPr="00936CE3">
        <w:rPr>
          <w:rFonts w:asciiTheme="minorHAnsi" w:hAnsiTheme="minorHAnsi" w:cstheme="minorHAnsi"/>
          <w:lang w:val="en-GB"/>
        </w:rPr>
        <w:t xml:space="preserve">the </w:t>
      </w:r>
      <w:r w:rsidR="00F76AAC" w:rsidRPr="00936CE3">
        <w:rPr>
          <w:rFonts w:asciiTheme="minorHAnsi" w:hAnsiTheme="minorHAnsi" w:cstheme="minorHAnsi"/>
          <w:lang w:val="en-GB"/>
        </w:rPr>
        <w:t xml:space="preserve">2005 and </w:t>
      </w:r>
      <w:r w:rsidRPr="00936CE3">
        <w:rPr>
          <w:rFonts w:asciiTheme="minorHAnsi" w:hAnsiTheme="minorHAnsi" w:cstheme="minorHAnsi"/>
          <w:lang w:val="en-GB"/>
        </w:rPr>
        <w:t>2010 elections and use the wisdom gained to inform preparations for 2015</w:t>
      </w:r>
      <w:r w:rsidR="00F76AAC" w:rsidRPr="00936CE3">
        <w:rPr>
          <w:rFonts w:asciiTheme="minorHAnsi" w:hAnsiTheme="minorHAnsi" w:cstheme="minorHAnsi"/>
          <w:lang w:val="en-GB"/>
        </w:rPr>
        <w:t xml:space="preserve"> and beyond</w:t>
      </w:r>
      <w:r w:rsidRPr="00936CE3">
        <w:rPr>
          <w:rFonts w:asciiTheme="minorHAnsi" w:hAnsiTheme="minorHAnsi" w:cstheme="minorHAnsi"/>
          <w:lang w:val="en-GB"/>
        </w:rPr>
        <w:t xml:space="preserve">. </w:t>
      </w:r>
    </w:p>
    <w:p w:rsidR="00642D0A" w:rsidRPr="00936CE3" w:rsidRDefault="00642D0A"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p>
    <w:p w:rsidR="00CB36C3" w:rsidRPr="00936CE3" w:rsidRDefault="000B791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r w:rsidRPr="00936CE3">
        <w:rPr>
          <w:rFonts w:asciiTheme="minorHAnsi" w:hAnsiTheme="minorHAnsi" w:cstheme="minorHAnsi"/>
          <w:lang w:val="en-GB"/>
        </w:rPr>
        <w:t xml:space="preserve">5. </w:t>
      </w:r>
      <w:r w:rsidR="009928D0" w:rsidRPr="00936CE3">
        <w:rPr>
          <w:rFonts w:asciiTheme="minorHAnsi" w:hAnsiTheme="minorHAnsi" w:cstheme="minorHAnsi"/>
          <w:lang w:val="en-GB"/>
        </w:rPr>
        <w:tab/>
      </w:r>
      <w:r w:rsidR="00A41703" w:rsidRPr="00936CE3">
        <w:rPr>
          <w:rFonts w:asciiTheme="minorHAnsi" w:hAnsiTheme="minorHAnsi" w:cstheme="minorHAnsi"/>
          <w:lang w:val="en-GB"/>
        </w:rPr>
        <w:t>While the electoral body, the CENI, was credited with organizing the 2010 elections according to international norms, it was faulted for some shortcomings</w:t>
      </w:r>
      <w:r w:rsidR="0063071C">
        <w:rPr>
          <w:rFonts w:asciiTheme="minorHAnsi" w:hAnsiTheme="minorHAnsi" w:cstheme="minorHAnsi"/>
          <w:lang w:val="en-GB"/>
        </w:rPr>
        <w:t xml:space="preserve"> and</w:t>
      </w:r>
      <w:r w:rsidR="00A41703" w:rsidRPr="00936CE3">
        <w:rPr>
          <w:rFonts w:asciiTheme="minorHAnsi" w:hAnsiTheme="minorHAnsi" w:cstheme="minorHAnsi"/>
          <w:lang w:val="en-GB"/>
        </w:rPr>
        <w:t xml:space="preserve"> encountered some organizational problems. </w:t>
      </w:r>
      <w:r w:rsidR="00805F78" w:rsidRPr="00936CE3">
        <w:rPr>
          <w:rFonts w:asciiTheme="minorHAnsi" w:hAnsiTheme="minorHAnsi" w:cstheme="minorHAnsi"/>
          <w:lang w:val="en-GB"/>
        </w:rPr>
        <w:t>T</w:t>
      </w:r>
      <w:r w:rsidR="00A41703" w:rsidRPr="00936CE3">
        <w:rPr>
          <w:rFonts w:asciiTheme="minorHAnsi" w:hAnsiTheme="minorHAnsi" w:cstheme="minorHAnsi"/>
          <w:lang w:val="en-GB"/>
        </w:rPr>
        <w:t>he term of office of CENI commissioners</w:t>
      </w:r>
      <w:r w:rsidR="00321C74" w:rsidRPr="00936CE3">
        <w:rPr>
          <w:rFonts w:asciiTheme="minorHAnsi" w:hAnsiTheme="minorHAnsi" w:cstheme="minorHAnsi"/>
          <w:lang w:val="en-GB"/>
        </w:rPr>
        <w:t xml:space="preserve"> in general</w:t>
      </w:r>
      <w:r w:rsidR="00A41703" w:rsidRPr="00936CE3">
        <w:rPr>
          <w:rFonts w:asciiTheme="minorHAnsi" w:hAnsiTheme="minorHAnsi" w:cstheme="minorHAnsi"/>
          <w:lang w:val="en-GB"/>
        </w:rPr>
        <w:t xml:space="preserve"> has been extended from three to five years in order to bring their tenure </w:t>
      </w:r>
      <w:r w:rsidR="00321C74" w:rsidRPr="00936CE3">
        <w:rPr>
          <w:rFonts w:asciiTheme="minorHAnsi" w:hAnsiTheme="minorHAnsi" w:cstheme="minorHAnsi"/>
          <w:lang w:val="en-GB"/>
        </w:rPr>
        <w:t xml:space="preserve">more </w:t>
      </w:r>
      <w:r w:rsidR="00A41703" w:rsidRPr="00936CE3">
        <w:rPr>
          <w:rFonts w:asciiTheme="minorHAnsi" w:hAnsiTheme="minorHAnsi" w:cstheme="minorHAnsi"/>
          <w:lang w:val="en-GB"/>
        </w:rPr>
        <w:t xml:space="preserve">into line with Burundi’s rolling electoral calendar. </w:t>
      </w:r>
      <w:r w:rsidR="00805F78" w:rsidRPr="00936CE3">
        <w:rPr>
          <w:rFonts w:asciiTheme="minorHAnsi" w:hAnsiTheme="minorHAnsi" w:cstheme="minorHAnsi"/>
          <w:lang w:val="en-GB"/>
        </w:rPr>
        <w:t>The new Commission w</w:t>
      </w:r>
      <w:r w:rsidR="0063071C">
        <w:rPr>
          <w:rFonts w:asciiTheme="minorHAnsi" w:hAnsiTheme="minorHAnsi" w:cstheme="minorHAnsi"/>
          <w:lang w:val="en-GB"/>
        </w:rPr>
        <w:t>as</w:t>
      </w:r>
      <w:r w:rsidR="00805F78" w:rsidRPr="00936CE3">
        <w:rPr>
          <w:rFonts w:asciiTheme="minorHAnsi" w:hAnsiTheme="minorHAnsi" w:cstheme="minorHAnsi"/>
          <w:lang w:val="en-GB"/>
        </w:rPr>
        <w:t xml:space="preserve"> sworn in on 17 December 2012. </w:t>
      </w:r>
    </w:p>
    <w:p w:rsidR="00CB36C3" w:rsidRPr="00936CE3" w:rsidRDefault="00CB36C3" w:rsidP="00EC6A54">
      <w:pPr>
        <w:pStyle w:val="ListParagraph"/>
        <w:spacing w:after="0" w:line="240" w:lineRule="auto"/>
        <w:jc w:val="both"/>
        <w:rPr>
          <w:rFonts w:asciiTheme="minorHAnsi" w:hAnsiTheme="minorHAnsi" w:cstheme="minorHAnsi"/>
        </w:rPr>
      </w:pPr>
    </w:p>
    <w:p w:rsidR="00CB36C3" w:rsidRPr="00936CE3" w:rsidRDefault="00DE1171" w:rsidP="00EC6A54">
      <w:pPr>
        <w:pStyle w:val="ListParagraph"/>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936CE3">
        <w:rPr>
          <w:rFonts w:asciiTheme="minorHAnsi" w:hAnsiTheme="minorHAnsi" w:cstheme="minorHAnsi"/>
          <w:lang w:val="en-GB"/>
        </w:rPr>
        <w:t xml:space="preserve">The electoral code of 18 September 2009, the legal framework governing the 2010 elections, was broadly considered adequate, including by the European Union election observation mission. However, a number of issues arose from the code that led to disagreements among political parties and impacted the conduct of the polls. These included the use of multiple versus single ballot papers, how to dispose of unused ballot papers, the number of tally records per polling station, the management of disputes, the financing of political parties and so on. There is thus a need to learn lessons and reflect on possible revisions to the electoral code. CENI </w:t>
      </w:r>
      <w:r w:rsidR="00805F78" w:rsidRPr="00936CE3">
        <w:rPr>
          <w:rFonts w:asciiTheme="minorHAnsi" w:hAnsiTheme="minorHAnsi" w:cstheme="minorHAnsi"/>
          <w:lang w:val="en-GB"/>
        </w:rPr>
        <w:t xml:space="preserve">conducted </w:t>
      </w:r>
      <w:r w:rsidRPr="00936CE3">
        <w:rPr>
          <w:rFonts w:asciiTheme="minorHAnsi" w:hAnsiTheme="minorHAnsi" w:cstheme="minorHAnsi"/>
          <w:lang w:val="en-GB"/>
        </w:rPr>
        <w:t>consultations with local authorities, political parties, civil society, media and religious groups. Topics of discussion cover</w:t>
      </w:r>
      <w:r w:rsidR="00680A96" w:rsidRPr="00936CE3">
        <w:rPr>
          <w:rFonts w:asciiTheme="minorHAnsi" w:hAnsiTheme="minorHAnsi" w:cstheme="minorHAnsi"/>
          <w:lang w:val="en-GB"/>
        </w:rPr>
        <w:t xml:space="preserve"> the electoral framework, citizens’ responsibilities, </w:t>
      </w:r>
      <w:r w:rsidRPr="00936CE3">
        <w:rPr>
          <w:rFonts w:asciiTheme="minorHAnsi" w:hAnsiTheme="minorHAnsi" w:cstheme="minorHAnsi"/>
          <w:lang w:val="en-GB"/>
        </w:rPr>
        <w:t>codes of conduct</w:t>
      </w:r>
      <w:r w:rsidR="00680A96" w:rsidRPr="00936CE3">
        <w:rPr>
          <w:rFonts w:asciiTheme="minorHAnsi" w:hAnsiTheme="minorHAnsi" w:cstheme="minorHAnsi"/>
          <w:lang w:val="en-GB"/>
        </w:rPr>
        <w:t>,</w:t>
      </w:r>
      <w:r w:rsidR="002E71C6" w:rsidRPr="00936CE3">
        <w:rPr>
          <w:rFonts w:asciiTheme="minorHAnsi" w:hAnsiTheme="minorHAnsi" w:cstheme="minorHAnsi"/>
          <w:lang w:val="en-GB"/>
        </w:rPr>
        <w:t xml:space="preserve"> </w:t>
      </w:r>
      <w:r w:rsidR="00680A96" w:rsidRPr="00936CE3">
        <w:rPr>
          <w:rFonts w:asciiTheme="minorHAnsi" w:hAnsiTheme="minorHAnsi" w:cstheme="minorHAnsi"/>
          <w:lang w:val="en-GB"/>
        </w:rPr>
        <w:t>and</w:t>
      </w:r>
      <w:r w:rsidRPr="00936CE3">
        <w:rPr>
          <w:rFonts w:asciiTheme="minorHAnsi" w:hAnsiTheme="minorHAnsi" w:cstheme="minorHAnsi"/>
          <w:lang w:val="en-GB"/>
        </w:rPr>
        <w:t xml:space="preserve"> the various roles of the different actors during the electoral process. </w:t>
      </w:r>
      <w:r w:rsidR="00805F78" w:rsidRPr="00936CE3">
        <w:rPr>
          <w:rFonts w:asciiTheme="minorHAnsi" w:hAnsiTheme="minorHAnsi" w:cstheme="minorHAnsi"/>
          <w:lang w:val="en-GB"/>
        </w:rPr>
        <w:t xml:space="preserve">Other organizations have conducted similar activities and the proposed workshop </w:t>
      </w:r>
      <w:r w:rsidR="00805F78" w:rsidRPr="00936CE3">
        <w:rPr>
          <w:rFonts w:asciiTheme="minorHAnsi" w:hAnsiTheme="minorHAnsi" w:cstheme="minorHAnsi"/>
          <w:lang w:val="en-GB"/>
        </w:rPr>
        <w:lastRenderedPageBreak/>
        <w:t xml:space="preserve">would therefore be a good opportunity for all stakeholders to come together and synchronize the various recommendations. </w:t>
      </w:r>
    </w:p>
    <w:p w:rsidR="00CB36C3" w:rsidRPr="00936CE3" w:rsidRDefault="00CB36C3" w:rsidP="00EC6A54">
      <w:pPr>
        <w:pStyle w:val="ListParagraph"/>
        <w:spacing w:after="0" w:line="240" w:lineRule="auto"/>
        <w:jc w:val="both"/>
        <w:rPr>
          <w:rFonts w:asciiTheme="minorHAnsi" w:hAnsiTheme="minorHAnsi" w:cstheme="minorHAnsi"/>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The international community provided over 85% of the funding for the 2010 elections and followed the entire process very closely. Given the global financial downturn and depleted donor budgets, as well as longer-term goals of sustainability of electoral processes, lessons can also be learned for 2015 in terms of financing and budgeting.</w:t>
      </w:r>
    </w:p>
    <w:p w:rsidR="00CB36C3" w:rsidRPr="00936CE3" w:rsidRDefault="00CB36C3" w:rsidP="00EC6A54">
      <w:pPr>
        <w:pStyle w:val="ListParagraph"/>
        <w:spacing w:after="0" w:line="240" w:lineRule="auto"/>
        <w:jc w:val="both"/>
        <w:rPr>
          <w:rFonts w:asciiTheme="minorHAnsi" w:hAnsiTheme="minorHAnsi" w:cstheme="minorHAnsi"/>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rPr>
        <w:t xml:space="preserve">Finally, and most broadly, moving towards 2015, as in any electoral process it will be vital to ensure a fully “level playing field” in the pre-electoral period for all political actors.  Lessons can be learned from </w:t>
      </w:r>
      <w:r w:rsidR="00F76AAC" w:rsidRPr="00936CE3">
        <w:rPr>
          <w:rFonts w:asciiTheme="minorHAnsi" w:hAnsiTheme="minorHAnsi" w:cstheme="minorHAnsi"/>
        </w:rPr>
        <w:t xml:space="preserve">2005 and </w:t>
      </w:r>
      <w:r w:rsidRPr="00936CE3">
        <w:rPr>
          <w:rFonts w:asciiTheme="minorHAnsi" w:hAnsiTheme="minorHAnsi" w:cstheme="minorHAnsi"/>
        </w:rPr>
        <w:t xml:space="preserve">2010 on how best to ensure that the pre-electoral and campaign periods are free and fair, and what additional measures may be needed.  </w:t>
      </w:r>
    </w:p>
    <w:p w:rsidR="00CE1D96" w:rsidRPr="00936CE3" w:rsidRDefault="00CE1D96" w:rsidP="00EC6A54">
      <w:pPr>
        <w:keepNext/>
        <w:spacing w:after="0" w:line="240" w:lineRule="auto"/>
        <w:jc w:val="both"/>
        <w:rPr>
          <w:rFonts w:asciiTheme="minorHAnsi" w:hAnsiTheme="minorHAnsi" w:cstheme="minorHAnsi"/>
          <w:b/>
          <w:lang w:val="en-GB"/>
        </w:rPr>
      </w:pPr>
    </w:p>
    <w:p w:rsidR="00A41703" w:rsidRPr="00936CE3" w:rsidRDefault="00A41703" w:rsidP="00EC6A54">
      <w:pPr>
        <w:keepNext/>
        <w:spacing w:after="0" w:line="240" w:lineRule="auto"/>
        <w:jc w:val="both"/>
        <w:rPr>
          <w:rFonts w:asciiTheme="minorHAnsi" w:hAnsiTheme="minorHAnsi" w:cstheme="minorHAnsi"/>
          <w:b/>
          <w:lang w:val="en-GB"/>
        </w:rPr>
      </w:pPr>
      <w:r w:rsidRPr="00936CE3">
        <w:rPr>
          <w:rFonts w:asciiTheme="minorHAnsi" w:hAnsiTheme="minorHAnsi" w:cstheme="minorHAnsi"/>
          <w:b/>
          <w:lang w:val="en-GB"/>
        </w:rPr>
        <w:t>Contact Group Request and UN involvement</w:t>
      </w:r>
    </w:p>
    <w:p w:rsidR="00EC6A54" w:rsidRPr="00936CE3" w:rsidRDefault="00EC6A54" w:rsidP="00EC6A54">
      <w:pPr>
        <w:keepNext/>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It is against this backdrop that the meeting of the Great Lakes Contact Group of 9-10 February</w:t>
      </w:r>
      <w:r w:rsidR="004C083E" w:rsidRPr="00936CE3">
        <w:rPr>
          <w:rFonts w:asciiTheme="minorHAnsi" w:hAnsiTheme="minorHAnsi" w:cstheme="minorHAnsi"/>
          <w:lang w:val="en-GB"/>
        </w:rPr>
        <w:t xml:space="preserve"> 2012</w:t>
      </w:r>
      <w:r w:rsidRPr="00936CE3">
        <w:rPr>
          <w:rFonts w:asciiTheme="minorHAnsi" w:hAnsiTheme="minorHAnsi" w:cstheme="minorHAnsi"/>
          <w:lang w:val="en-GB"/>
        </w:rPr>
        <w:t xml:space="preserve"> recommended that the United Nations in Burundi organize an exercise to reflect on Burundi’s 2010 elections and identify lessons learned to prepare for elections in 2015</w:t>
      </w:r>
      <w:r w:rsidR="00F76AAC" w:rsidRPr="00936CE3">
        <w:rPr>
          <w:rFonts w:asciiTheme="minorHAnsi" w:hAnsiTheme="minorHAnsi" w:cstheme="minorHAnsi"/>
          <w:lang w:val="en-GB"/>
        </w:rPr>
        <w:t xml:space="preserve"> and beyond</w:t>
      </w:r>
      <w:r w:rsidRPr="00936CE3">
        <w:rPr>
          <w:rFonts w:asciiTheme="minorHAnsi" w:hAnsiTheme="minorHAnsi" w:cstheme="minorHAnsi"/>
          <w:lang w:val="en-GB"/>
        </w:rPr>
        <w:t xml:space="preserve">. </w:t>
      </w:r>
    </w:p>
    <w:p w:rsidR="00CB36C3" w:rsidRPr="00936CE3" w:rsidRDefault="00CB36C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Orientations</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 xml:space="preserve">Including the widest possible range of perspectives on the 2010 elections will be vital to ensure that the lessons learned from 2010 are empirically valid, and to assist in building a broad national consensus in moving forwards towards 2015. </w:t>
      </w:r>
    </w:p>
    <w:p w:rsidR="00CB36C3" w:rsidRPr="00936CE3" w:rsidRDefault="00CB36C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Particularly important, in this regard, will be to ensure that the voices of all</w:t>
      </w:r>
      <w:r w:rsidR="00F76AAC" w:rsidRPr="00936CE3">
        <w:rPr>
          <w:rFonts w:asciiTheme="minorHAnsi" w:hAnsiTheme="minorHAnsi" w:cstheme="minorHAnsi"/>
          <w:lang w:val="en-GB"/>
        </w:rPr>
        <w:t xml:space="preserve"> </w:t>
      </w:r>
      <w:r w:rsidR="00856957" w:rsidRPr="00936CE3">
        <w:rPr>
          <w:rFonts w:asciiTheme="minorHAnsi" w:hAnsiTheme="minorHAnsi" w:cstheme="minorHAnsi"/>
          <w:lang w:val="en-GB"/>
        </w:rPr>
        <w:t xml:space="preserve">stakeholders from the 2010 elections </w:t>
      </w:r>
      <w:r w:rsidR="004C083E" w:rsidRPr="00936CE3">
        <w:rPr>
          <w:rFonts w:asciiTheme="minorHAnsi" w:hAnsiTheme="minorHAnsi" w:cstheme="minorHAnsi"/>
          <w:lang w:val="en-GB"/>
        </w:rPr>
        <w:t xml:space="preserve">are heard.  There is </w:t>
      </w:r>
      <w:r w:rsidRPr="00936CE3">
        <w:rPr>
          <w:rFonts w:asciiTheme="minorHAnsi" w:hAnsiTheme="minorHAnsi" w:cstheme="minorHAnsi"/>
          <w:lang w:val="en-GB"/>
        </w:rPr>
        <w:t xml:space="preserve">broad agreement </w:t>
      </w:r>
      <w:r w:rsidR="004C083E" w:rsidRPr="00936CE3">
        <w:rPr>
          <w:rFonts w:asciiTheme="minorHAnsi" w:hAnsiTheme="minorHAnsi" w:cstheme="minorHAnsi"/>
          <w:lang w:val="en-GB"/>
        </w:rPr>
        <w:t xml:space="preserve">across stakeholders </w:t>
      </w:r>
      <w:r w:rsidRPr="00936CE3">
        <w:rPr>
          <w:rFonts w:asciiTheme="minorHAnsi" w:hAnsiTheme="minorHAnsi" w:cstheme="minorHAnsi"/>
          <w:lang w:val="en-GB"/>
        </w:rPr>
        <w:t xml:space="preserve">that discussion on how best to prepare for the 2015 elections is </w:t>
      </w:r>
      <w:r w:rsidR="004C083E" w:rsidRPr="00936CE3">
        <w:rPr>
          <w:rFonts w:asciiTheme="minorHAnsi" w:hAnsiTheme="minorHAnsi" w:cstheme="minorHAnsi"/>
        </w:rPr>
        <w:t>timely,</w:t>
      </w:r>
      <w:r w:rsidR="00856957" w:rsidRPr="00936CE3">
        <w:rPr>
          <w:rFonts w:asciiTheme="minorHAnsi" w:hAnsiTheme="minorHAnsi" w:cstheme="minorHAnsi"/>
        </w:rPr>
        <w:t xml:space="preserve"> building on the on-going CENI consultations</w:t>
      </w:r>
      <w:r w:rsidR="00F76AAC" w:rsidRPr="00936CE3">
        <w:rPr>
          <w:rFonts w:asciiTheme="minorHAnsi" w:hAnsiTheme="minorHAnsi" w:cstheme="minorHAnsi"/>
        </w:rPr>
        <w:t xml:space="preserve"> and drawing from national and international electoral observer reports</w:t>
      </w:r>
      <w:r w:rsidRPr="00936CE3">
        <w:rPr>
          <w:rFonts w:asciiTheme="minorHAnsi" w:hAnsiTheme="minorHAnsi" w:cstheme="minorHAnsi"/>
          <w:lang w:val="en-GB"/>
        </w:rPr>
        <w:t xml:space="preserve">. Participation should, therefore, be on the basis that the underlying logic for the exercise is clearly understood by all: to learn lessons in order to move forwards </w:t>
      </w:r>
      <w:r w:rsidR="004C083E" w:rsidRPr="00936CE3">
        <w:rPr>
          <w:rFonts w:asciiTheme="minorHAnsi" w:hAnsiTheme="minorHAnsi" w:cstheme="minorHAnsi"/>
          <w:lang w:val="en-GB"/>
        </w:rPr>
        <w:t>on a strengthened basis towards 2015</w:t>
      </w:r>
      <w:r w:rsidRPr="00936CE3">
        <w:rPr>
          <w:rFonts w:asciiTheme="minorHAnsi" w:hAnsiTheme="minorHAnsi" w:cstheme="minorHAnsi"/>
          <w:lang w:val="en-GB"/>
        </w:rPr>
        <w:t>.</w:t>
      </w:r>
    </w:p>
    <w:p w:rsidR="00CB36C3" w:rsidRPr="00936CE3" w:rsidRDefault="00CB36C3" w:rsidP="00EC6A54">
      <w:pPr>
        <w:pStyle w:val="ListParagraph"/>
        <w:spacing w:after="0" w:line="240" w:lineRule="auto"/>
        <w:jc w:val="both"/>
        <w:rPr>
          <w:rFonts w:asciiTheme="minorHAnsi" w:hAnsiTheme="minorHAnsi" w:cstheme="minorHAnsi"/>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 xml:space="preserve">The exercise </w:t>
      </w:r>
      <w:r w:rsidR="0063071C">
        <w:rPr>
          <w:rFonts w:asciiTheme="minorHAnsi" w:hAnsiTheme="minorHAnsi" w:cstheme="minorHAnsi"/>
          <w:lang w:val="en-GB"/>
        </w:rPr>
        <w:t xml:space="preserve">is being organized </w:t>
      </w:r>
      <w:r w:rsidRPr="00936CE3">
        <w:rPr>
          <w:rFonts w:asciiTheme="minorHAnsi" w:hAnsiTheme="minorHAnsi" w:cstheme="minorHAnsi"/>
          <w:lang w:val="en-GB"/>
        </w:rPr>
        <w:t xml:space="preserve"> in Burundi, to maximise national ownership.  It should take place in an environment where all participants feel at liberty to contribute substantially to the proceedings.  Some political actors important to the 2010 elections continue to have concerns about returning to Burundi.  Their opinions are amongst those needing to be heard for completeness. </w:t>
      </w:r>
      <w:r w:rsidR="0063071C">
        <w:rPr>
          <w:rFonts w:asciiTheme="minorHAnsi" w:hAnsiTheme="minorHAnsi" w:cstheme="minorHAnsi"/>
          <w:lang w:val="en-GB"/>
        </w:rPr>
        <w:t>It is therefore reassuring that the government has unambiguously and repeatedly invited all political leaders in exile to return, including to actively participate in the seminar.</w:t>
      </w:r>
    </w:p>
    <w:p w:rsidR="00805F78" w:rsidRPr="00936CE3" w:rsidRDefault="00805F78" w:rsidP="00EC6A54">
      <w:pPr>
        <w:pStyle w:val="ListParagraph"/>
        <w:spacing w:after="0" w:line="240" w:lineRule="auto"/>
        <w:rPr>
          <w:rFonts w:asciiTheme="minorHAnsi" w:hAnsiTheme="minorHAnsi" w:cstheme="minorHAnsi"/>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Convenor</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The United Nations would play the role of convenor, in view of the central role it played in the 2010 elections and in view of its recognized political neutrality, in consultation</w:t>
      </w:r>
      <w:r w:rsidR="004C083E" w:rsidRPr="00936CE3">
        <w:rPr>
          <w:rFonts w:asciiTheme="minorHAnsi" w:hAnsiTheme="minorHAnsi" w:cstheme="minorHAnsi"/>
          <w:lang w:val="en-GB"/>
        </w:rPr>
        <w:t xml:space="preserve"> with the Government of Burundi, the CENI, and international partners.</w:t>
      </w:r>
    </w:p>
    <w:p w:rsidR="00CB36C3" w:rsidRPr="00936CE3" w:rsidRDefault="00CB36C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 xml:space="preserve">In view of the sensitivity of the topics to be addressed, </w:t>
      </w:r>
      <w:r w:rsidR="00481737" w:rsidRPr="00936CE3">
        <w:rPr>
          <w:rFonts w:asciiTheme="minorHAnsi" w:hAnsiTheme="minorHAnsi" w:cstheme="minorHAnsi"/>
          <w:lang w:val="en-GB"/>
        </w:rPr>
        <w:t>a number of different kinds of resource pe</w:t>
      </w:r>
      <w:r w:rsidR="00EE5CA3" w:rsidRPr="00936CE3">
        <w:rPr>
          <w:rFonts w:asciiTheme="minorHAnsi" w:hAnsiTheme="minorHAnsi" w:cstheme="minorHAnsi"/>
          <w:lang w:val="en-GB"/>
        </w:rPr>
        <w:t>rsons</w:t>
      </w:r>
      <w:r w:rsidR="00481737" w:rsidRPr="00936CE3">
        <w:rPr>
          <w:rFonts w:asciiTheme="minorHAnsi" w:hAnsiTheme="minorHAnsi" w:cstheme="minorHAnsi"/>
          <w:lang w:val="en-GB"/>
        </w:rPr>
        <w:t xml:space="preserve"> </w:t>
      </w:r>
      <w:r w:rsidRPr="00936CE3">
        <w:rPr>
          <w:rFonts w:asciiTheme="minorHAnsi" w:hAnsiTheme="minorHAnsi" w:cstheme="minorHAnsi"/>
          <w:lang w:val="en-GB"/>
        </w:rPr>
        <w:t xml:space="preserve">would be identified, in cooperation with the </w:t>
      </w:r>
      <w:r w:rsidR="00856957" w:rsidRPr="00936CE3">
        <w:rPr>
          <w:rFonts w:asciiTheme="minorHAnsi" w:hAnsiTheme="minorHAnsi" w:cstheme="minorHAnsi"/>
          <w:lang w:val="en-GB"/>
        </w:rPr>
        <w:t>Electoral Assistance Division and</w:t>
      </w:r>
      <w:r w:rsidRPr="00936CE3">
        <w:rPr>
          <w:rFonts w:asciiTheme="minorHAnsi" w:hAnsiTheme="minorHAnsi" w:cstheme="minorHAnsi"/>
          <w:lang w:val="en-GB"/>
        </w:rPr>
        <w:t xml:space="preserve"> Mediation </w:t>
      </w:r>
      <w:r w:rsidRPr="00936CE3">
        <w:rPr>
          <w:rFonts w:asciiTheme="minorHAnsi" w:hAnsiTheme="minorHAnsi" w:cstheme="minorHAnsi"/>
          <w:lang w:val="en-GB"/>
        </w:rPr>
        <w:lastRenderedPageBreak/>
        <w:t xml:space="preserve">Support Division of </w:t>
      </w:r>
      <w:r w:rsidR="00856957" w:rsidRPr="00936CE3">
        <w:rPr>
          <w:rFonts w:asciiTheme="minorHAnsi" w:hAnsiTheme="minorHAnsi" w:cstheme="minorHAnsi"/>
          <w:lang w:val="en-GB"/>
        </w:rPr>
        <w:t>the UN’s Department of Political Affairs (DPA)</w:t>
      </w:r>
      <w:r w:rsidR="004C083E" w:rsidRPr="00936CE3">
        <w:rPr>
          <w:rFonts w:asciiTheme="minorHAnsi" w:hAnsiTheme="minorHAnsi" w:cstheme="minorHAnsi"/>
          <w:lang w:val="en-GB"/>
        </w:rPr>
        <w:t>, and with UNDP</w:t>
      </w:r>
      <w:r w:rsidR="00856957" w:rsidRPr="00936CE3">
        <w:rPr>
          <w:rFonts w:asciiTheme="minorHAnsi" w:hAnsiTheme="minorHAnsi" w:cstheme="minorHAnsi"/>
          <w:lang w:val="en-GB"/>
        </w:rPr>
        <w:t>.</w:t>
      </w:r>
      <w:r w:rsidR="00481737" w:rsidRPr="00936CE3">
        <w:rPr>
          <w:rFonts w:asciiTheme="minorHAnsi" w:hAnsiTheme="minorHAnsi" w:cstheme="minorHAnsi"/>
          <w:lang w:val="en-GB"/>
        </w:rPr>
        <w:t xml:space="preserve"> These could include a Senior dignitary </w:t>
      </w:r>
      <w:r w:rsidR="006B5194">
        <w:rPr>
          <w:rFonts w:asciiTheme="minorHAnsi" w:hAnsiTheme="minorHAnsi" w:cstheme="minorHAnsi"/>
          <w:lang w:val="en-GB"/>
        </w:rPr>
        <w:t xml:space="preserve">who would </w:t>
      </w:r>
      <w:r w:rsidR="00481737" w:rsidRPr="00936CE3">
        <w:rPr>
          <w:rFonts w:asciiTheme="minorHAnsi" w:hAnsiTheme="minorHAnsi" w:cstheme="minorHAnsi"/>
          <w:lang w:val="en-GB"/>
        </w:rPr>
        <w:t xml:space="preserve">provide a key-note speech during the opening ceremony; members of other electoral management bodies in the region </w:t>
      </w:r>
      <w:r w:rsidR="00EE5CA3" w:rsidRPr="00936CE3">
        <w:rPr>
          <w:rFonts w:asciiTheme="minorHAnsi" w:hAnsiTheme="minorHAnsi" w:cstheme="minorHAnsi"/>
          <w:lang w:val="en-GB"/>
        </w:rPr>
        <w:t xml:space="preserve">or significant personalities </w:t>
      </w:r>
      <w:r w:rsidR="00481737" w:rsidRPr="00936CE3">
        <w:rPr>
          <w:rFonts w:asciiTheme="minorHAnsi" w:hAnsiTheme="minorHAnsi" w:cstheme="minorHAnsi"/>
          <w:lang w:val="en-GB"/>
        </w:rPr>
        <w:t xml:space="preserve">that have been involved in successful electoral processes to provide lessons learned from their countries; an EAD Senior Expert </w:t>
      </w:r>
      <w:r w:rsidR="0063071C">
        <w:rPr>
          <w:rFonts w:asciiTheme="minorHAnsi" w:hAnsiTheme="minorHAnsi" w:cstheme="minorHAnsi"/>
          <w:lang w:val="en-GB"/>
        </w:rPr>
        <w:t xml:space="preserve">who would </w:t>
      </w:r>
      <w:r w:rsidR="00481737" w:rsidRPr="00936CE3">
        <w:rPr>
          <w:rFonts w:asciiTheme="minorHAnsi" w:hAnsiTheme="minorHAnsi" w:cstheme="minorHAnsi"/>
          <w:lang w:val="en-GB"/>
        </w:rPr>
        <w:t xml:space="preserve"> present on </w:t>
      </w:r>
      <w:r w:rsidR="0063071C">
        <w:rPr>
          <w:rFonts w:asciiTheme="minorHAnsi" w:hAnsiTheme="minorHAnsi" w:cstheme="minorHAnsi"/>
          <w:lang w:val="en-GB"/>
        </w:rPr>
        <w:t xml:space="preserve">the </w:t>
      </w:r>
      <w:r w:rsidR="00481737" w:rsidRPr="00936CE3">
        <w:rPr>
          <w:rFonts w:asciiTheme="minorHAnsi" w:hAnsiTheme="minorHAnsi" w:cstheme="minorHAnsi"/>
          <w:lang w:val="en-GB"/>
        </w:rPr>
        <w:t xml:space="preserve">universal declarations </w:t>
      </w:r>
      <w:r w:rsidR="006B5194">
        <w:rPr>
          <w:rFonts w:asciiTheme="minorHAnsi" w:hAnsiTheme="minorHAnsi" w:cstheme="minorHAnsi"/>
          <w:lang w:val="en-GB"/>
        </w:rPr>
        <w:t xml:space="preserve">and standards </w:t>
      </w:r>
      <w:r w:rsidR="0063071C">
        <w:rPr>
          <w:rFonts w:asciiTheme="minorHAnsi" w:hAnsiTheme="minorHAnsi" w:cstheme="minorHAnsi"/>
          <w:lang w:val="en-GB"/>
        </w:rPr>
        <w:t>of</w:t>
      </w:r>
      <w:r w:rsidR="006B5194">
        <w:rPr>
          <w:rFonts w:asciiTheme="minorHAnsi" w:hAnsiTheme="minorHAnsi" w:cstheme="minorHAnsi"/>
          <w:lang w:val="en-GB"/>
        </w:rPr>
        <w:t xml:space="preserve"> holding </w:t>
      </w:r>
      <w:r w:rsidR="00481737" w:rsidRPr="00936CE3">
        <w:rPr>
          <w:rFonts w:asciiTheme="minorHAnsi" w:hAnsiTheme="minorHAnsi" w:cstheme="minorHAnsi"/>
          <w:lang w:val="en-GB"/>
        </w:rPr>
        <w:t xml:space="preserve">free and fair elections and; support staff with electoral background. </w:t>
      </w:r>
    </w:p>
    <w:p w:rsidR="00EC6A54" w:rsidRPr="00936CE3" w:rsidRDefault="00EC6A54" w:rsidP="00EC6A54">
      <w:pPr>
        <w:spacing w:after="0" w:line="240" w:lineRule="auto"/>
        <w:jc w:val="both"/>
        <w:rPr>
          <w:rFonts w:asciiTheme="minorHAnsi" w:hAnsiTheme="minorHAnsi" w:cstheme="minorHAnsi"/>
          <w:b/>
          <w:lang w:val="en-GB"/>
        </w:rPr>
      </w:pPr>
    </w:p>
    <w:p w:rsidR="005B6A55" w:rsidRPr="00936CE3" w:rsidRDefault="005B6A55" w:rsidP="00EC6A54">
      <w:pPr>
        <w:spacing w:after="0" w:line="240" w:lineRule="auto"/>
        <w:jc w:val="both"/>
        <w:rPr>
          <w:rFonts w:asciiTheme="minorHAnsi" w:hAnsiTheme="minorHAnsi" w:cstheme="minorHAnsi"/>
          <w:b/>
          <w:lang w:val="en-GB"/>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Proposed agenda</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 xml:space="preserve">The following clusters of topics </w:t>
      </w:r>
      <w:r w:rsidR="004C083E" w:rsidRPr="00936CE3">
        <w:rPr>
          <w:rFonts w:asciiTheme="minorHAnsi" w:hAnsiTheme="minorHAnsi" w:cstheme="minorHAnsi"/>
          <w:lang w:val="en-GB"/>
        </w:rPr>
        <w:t>is proposed</w:t>
      </w:r>
      <w:r w:rsidRPr="00936CE3">
        <w:rPr>
          <w:rFonts w:asciiTheme="minorHAnsi" w:hAnsiTheme="minorHAnsi" w:cstheme="minorHAnsi"/>
          <w:lang w:val="en-GB"/>
        </w:rPr>
        <w:t>:</w:t>
      </w:r>
    </w:p>
    <w:p w:rsidR="00CB36C3" w:rsidRPr="00936CE3" w:rsidRDefault="00CB36C3"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p>
    <w:p w:rsidR="00A41703" w:rsidRPr="00936CE3" w:rsidRDefault="00A41703" w:rsidP="00EC6A54">
      <w:pPr>
        <w:spacing w:after="0" w:line="240" w:lineRule="auto"/>
        <w:ind w:left="720"/>
        <w:jc w:val="both"/>
        <w:rPr>
          <w:rFonts w:asciiTheme="minorHAnsi" w:hAnsiTheme="minorHAnsi" w:cstheme="minorHAnsi"/>
          <w:b/>
          <w:lang w:val="en-GB"/>
        </w:rPr>
      </w:pPr>
      <w:r w:rsidRPr="00936CE3">
        <w:rPr>
          <w:rFonts w:asciiTheme="minorHAnsi" w:hAnsiTheme="minorHAnsi" w:cstheme="minorHAnsi"/>
          <w:b/>
          <w:lang w:val="en-GB"/>
        </w:rPr>
        <w:t xml:space="preserve">Cluster I – </w:t>
      </w:r>
      <w:r w:rsidR="00144951" w:rsidRPr="00936CE3">
        <w:rPr>
          <w:rFonts w:asciiTheme="minorHAnsi" w:hAnsiTheme="minorHAnsi" w:cstheme="minorHAnsi"/>
          <w:b/>
          <w:lang w:val="en-GB"/>
        </w:rPr>
        <w:t>T</w:t>
      </w:r>
      <w:r w:rsidRPr="00936CE3">
        <w:rPr>
          <w:rFonts w:asciiTheme="minorHAnsi" w:hAnsiTheme="minorHAnsi" w:cstheme="minorHAnsi"/>
          <w:b/>
          <w:lang w:val="en-GB"/>
        </w:rPr>
        <w:t>echnical aspects of the electoral process</w:t>
      </w:r>
    </w:p>
    <w:p w:rsidR="00EC6A54" w:rsidRPr="00936CE3" w:rsidRDefault="00EC6A54" w:rsidP="00EC6A54">
      <w:pPr>
        <w:spacing w:after="0" w:line="240" w:lineRule="auto"/>
        <w:ind w:left="720"/>
        <w:jc w:val="both"/>
        <w:rPr>
          <w:rFonts w:asciiTheme="minorHAnsi" w:hAnsiTheme="minorHAnsi" w:cstheme="minorHAnsi"/>
          <w:i/>
          <w:lang w:val="en-GB"/>
        </w:rPr>
      </w:pPr>
    </w:p>
    <w:p w:rsidR="00A41703" w:rsidRPr="00936CE3" w:rsidRDefault="00A41703" w:rsidP="00EC6A54">
      <w:pPr>
        <w:spacing w:after="0" w:line="240" w:lineRule="auto"/>
        <w:ind w:left="720"/>
        <w:jc w:val="both"/>
        <w:rPr>
          <w:rFonts w:asciiTheme="minorHAnsi" w:hAnsiTheme="minorHAnsi" w:cstheme="minorHAnsi"/>
          <w:i/>
          <w:lang w:val="en-GB"/>
        </w:rPr>
      </w:pPr>
      <w:r w:rsidRPr="00936CE3">
        <w:rPr>
          <w:rFonts w:asciiTheme="minorHAnsi" w:hAnsiTheme="minorHAnsi" w:cstheme="minorHAnsi"/>
          <w:i/>
          <w:lang w:val="en-GB"/>
        </w:rPr>
        <w:t>What are technical lessons learned from the elections in 2010?</w:t>
      </w:r>
    </w:p>
    <w:p w:rsidR="00A41703" w:rsidRPr="00936CE3" w:rsidRDefault="00A41703" w:rsidP="00EC6A54">
      <w:pPr>
        <w:numPr>
          <w:ilvl w:val="1"/>
          <w:numId w:val="7"/>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Electoral code: how suitable was the electoral code for the 2010 elections? Should there be any alterations for the next elections?</w:t>
      </w:r>
    </w:p>
    <w:p w:rsidR="00A41703" w:rsidRPr="00936CE3" w:rsidRDefault="00A41703" w:rsidP="00EC6A54">
      <w:pPr>
        <w:numPr>
          <w:ilvl w:val="1"/>
          <w:numId w:val="7"/>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 xml:space="preserve">Polling process: what can be learned from the actual polling process? How can the process be ameliorated (voting cards, electoral lists, etc.)? How can the technical capacities of the independent national electoral commission staff (CENI) be ameliorated? Distribution and functioning of polling stations? Security at polling stations? </w:t>
      </w:r>
    </w:p>
    <w:p w:rsidR="00A41703" w:rsidRPr="00936CE3" w:rsidRDefault="00856957" w:rsidP="00EC6A54">
      <w:pPr>
        <w:numPr>
          <w:ilvl w:val="1"/>
          <w:numId w:val="7"/>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 xml:space="preserve">Public outreach: What can be learned from the </w:t>
      </w:r>
      <w:r w:rsidR="00F76AAC" w:rsidRPr="00936CE3">
        <w:rPr>
          <w:rFonts w:asciiTheme="minorHAnsi" w:hAnsiTheme="minorHAnsi" w:cstheme="minorHAnsi"/>
          <w:lang w:val="en-GB"/>
        </w:rPr>
        <w:t xml:space="preserve">2005 and </w:t>
      </w:r>
      <w:r w:rsidR="00650467" w:rsidRPr="00936CE3">
        <w:rPr>
          <w:rFonts w:asciiTheme="minorHAnsi" w:hAnsiTheme="minorHAnsi" w:cstheme="minorHAnsi"/>
          <w:lang w:val="en-GB"/>
        </w:rPr>
        <w:t xml:space="preserve">2010 </w:t>
      </w:r>
      <w:r w:rsidRPr="00936CE3">
        <w:rPr>
          <w:rFonts w:asciiTheme="minorHAnsi" w:hAnsiTheme="minorHAnsi" w:cstheme="minorHAnsi"/>
          <w:lang w:val="en-GB"/>
        </w:rPr>
        <w:t xml:space="preserve">electoral public outreach strategy? Did civic and voter education reach out to all citizens? Were political parties and electoral observers adequately briefed on the process? Were parties </w:t>
      </w:r>
      <w:r w:rsidR="00A41703" w:rsidRPr="00936CE3">
        <w:rPr>
          <w:rFonts w:asciiTheme="minorHAnsi" w:hAnsiTheme="minorHAnsi" w:cstheme="minorHAnsi"/>
          <w:lang w:val="en-GB"/>
        </w:rPr>
        <w:t>able to access media prior to the elections (allotted airtime per party, etc.)</w:t>
      </w:r>
      <w:r w:rsidR="004C083E" w:rsidRPr="00936CE3">
        <w:rPr>
          <w:rFonts w:asciiTheme="minorHAnsi" w:hAnsiTheme="minorHAnsi" w:cstheme="minorHAnsi"/>
          <w:lang w:val="en-GB"/>
        </w:rPr>
        <w:t>?</w:t>
      </w:r>
    </w:p>
    <w:p w:rsidR="00EC6A54" w:rsidRPr="00936CE3" w:rsidRDefault="00EC6A54" w:rsidP="00EC6A54">
      <w:pPr>
        <w:spacing w:after="0" w:line="240" w:lineRule="auto"/>
        <w:ind w:left="720"/>
        <w:jc w:val="both"/>
        <w:rPr>
          <w:rFonts w:asciiTheme="minorHAnsi" w:hAnsiTheme="minorHAnsi" w:cstheme="minorHAnsi"/>
          <w:b/>
          <w:lang w:val="en-GB"/>
        </w:rPr>
      </w:pPr>
    </w:p>
    <w:p w:rsidR="00A41703" w:rsidRPr="00936CE3" w:rsidRDefault="00A41703" w:rsidP="00EC6A54">
      <w:pPr>
        <w:spacing w:after="0" w:line="240" w:lineRule="auto"/>
        <w:ind w:left="720"/>
        <w:jc w:val="both"/>
        <w:rPr>
          <w:rFonts w:asciiTheme="minorHAnsi" w:hAnsiTheme="minorHAnsi" w:cstheme="minorHAnsi"/>
          <w:b/>
          <w:lang w:val="en-GB"/>
        </w:rPr>
      </w:pPr>
      <w:r w:rsidRPr="00936CE3">
        <w:rPr>
          <w:rFonts w:asciiTheme="minorHAnsi" w:hAnsiTheme="minorHAnsi" w:cstheme="minorHAnsi"/>
          <w:b/>
          <w:lang w:val="en-GB"/>
        </w:rPr>
        <w:t xml:space="preserve">Cluster II - </w:t>
      </w:r>
      <w:r w:rsidR="00144951" w:rsidRPr="00936CE3">
        <w:rPr>
          <w:rFonts w:asciiTheme="minorHAnsi" w:hAnsiTheme="minorHAnsi" w:cstheme="minorHAnsi"/>
          <w:b/>
          <w:lang w:val="en-GB"/>
        </w:rPr>
        <w:t>P</w:t>
      </w:r>
      <w:r w:rsidRPr="00936CE3">
        <w:rPr>
          <w:rFonts w:asciiTheme="minorHAnsi" w:hAnsiTheme="minorHAnsi" w:cstheme="minorHAnsi"/>
          <w:b/>
          <w:lang w:val="en-GB"/>
        </w:rPr>
        <w:t>olitical aspects of the electoral process</w:t>
      </w:r>
    </w:p>
    <w:p w:rsidR="00EC6A54" w:rsidRPr="00936CE3" w:rsidRDefault="00EC6A54" w:rsidP="00EC6A54">
      <w:pPr>
        <w:spacing w:after="0" w:line="240" w:lineRule="auto"/>
        <w:ind w:left="720"/>
        <w:jc w:val="both"/>
        <w:rPr>
          <w:rFonts w:asciiTheme="minorHAnsi" w:hAnsiTheme="minorHAnsi" w:cstheme="minorHAnsi"/>
          <w:i/>
          <w:lang w:val="en-GB"/>
        </w:rPr>
      </w:pPr>
    </w:p>
    <w:p w:rsidR="00F9656A" w:rsidRPr="00936CE3" w:rsidRDefault="00A41703" w:rsidP="00EC6A54">
      <w:pPr>
        <w:spacing w:after="0" w:line="240" w:lineRule="auto"/>
        <w:ind w:left="720"/>
        <w:jc w:val="both"/>
        <w:rPr>
          <w:rFonts w:asciiTheme="minorHAnsi" w:hAnsiTheme="minorHAnsi" w:cstheme="minorHAnsi"/>
          <w:i/>
          <w:lang w:val="en-GB"/>
        </w:rPr>
      </w:pPr>
      <w:r w:rsidRPr="00936CE3">
        <w:rPr>
          <w:rFonts w:asciiTheme="minorHAnsi" w:hAnsiTheme="minorHAnsi" w:cstheme="minorHAnsi"/>
          <w:i/>
          <w:lang w:val="en-GB"/>
        </w:rPr>
        <w:t>What lessons can be drawn from the political dimension of the 2010 elections?</w:t>
      </w:r>
    </w:p>
    <w:p w:rsidR="00F9656A" w:rsidRPr="00936CE3" w:rsidRDefault="00A41703" w:rsidP="00EC6A54">
      <w:pPr>
        <w:numPr>
          <w:ilvl w:val="1"/>
          <w:numId w:val="8"/>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The pre-electoral period: what lessons can be learned on how best to ensure a level playing field in the run-up to 2015?</w:t>
      </w:r>
    </w:p>
    <w:p w:rsidR="00F9656A" w:rsidRPr="00936CE3" w:rsidRDefault="00A41703" w:rsidP="00EC6A54">
      <w:pPr>
        <w:numPr>
          <w:ilvl w:val="1"/>
          <w:numId w:val="8"/>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Inclusive elections: what led to the boycott of the elections by some political parties? How can an environment be created that is conducive to inclusive elections in 2015? How can the legitimacy of CENI be increased?</w:t>
      </w:r>
    </w:p>
    <w:p w:rsidR="00F9656A" w:rsidRPr="00936CE3" w:rsidRDefault="00A41703" w:rsidP="00EC6A54">
      <w:pPr>
        <w:numPr>
          <w:ilvl w:val="1"/>
          <w:numId w:val="9"/>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 xml:space="preserve">Dialogue: how can consultations between political parties </w:t>
      </w:r>
      <w:r w:rsidR="004C083E" w:rsidRPr="00936CE3">
        <w:rPr>
          <w:rFonts w:asciiTheme="minorHAnsi" w:hAnsiTheme="minorHAnsi" w:cstheme="minorHAnsi"/>
          <w:lang w:val="en-GB"/>
        </w:rPr>
        <w:t xml:space="preserve">best </w:t>
      </w:r>
      <w:r w:rsidRPr="00936CE3">
        <w:rPr>
          <w:rFonts w:asciiTheme="minorHAnsi" w:hAnsiTheme="minorHAnsi" w:cstheme="minorHAnsi"/>
          <w:lang w:val="en-GB"/>
        </w:rPr>
        <w:t>be ensured prior to the next elections</w:t>
      </w:r>
      <w:r w:rsidR="004C083E" w:rsidRPr="00936CE3">
        <w:rPr>
          <w:rFonts w:asciiTheme="minorHAnsi" w:hAnsiTheme="minorHAnsi" w:cstheme="minorHAnsi"/>
          <w:lang w:val="en-GB"/>
        </w:rPr>
        <w:t>, and in what form</w:t>
      </w:r>
      <w:r w:rsidRPr="00936CE3">
        <w:rPr>
          <w:rFonts w:asciiTheme="minorHAnsi" w:hAnsiTheme="minorHAnsi" w:cstheme="minorHAnsi"/>
          <w:lang w:val="en-GB"/>
        </w:rPr>
        <w:t>?</w:t>
      </w:r>
    </w:p>
    <w:p w:rsidR="00F9656A" w:rsidRPr="00936CE3" w:rsidRDefault="004B0477" w:rsidP="00EC6A54">
      <w:pPr>
        <w:numPr>
          <w:ilvl w:val="1"/>
          <w:numId w:val="9"/>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 xml:space="preserve">Electoral context: how is the success of elections linked to contextual factors such as DDR, SSR and Transitional Justice? </w:t>
      </w:r>
    </w:p>
    <w:p w:rsidR="00EC6A54" w:rsidRPr="00936CE3" w:rsidRDefault="00EC6A54" w:rsidP="00EC6A54">
      <w:pPr>
        <w:spacing w:after="0" w:line="240" w:lineRule="auto"/>
        <w:ind w:firstLine="720"/>
        <w:jc w:val="both"/>
        <w:rPr>
          <w:rFonts w:asciiTheme="minorHAnsi" w:hAnsiTheme="minorHAnsi" w:cstheme="minorHAnsi"/>
          <w:i/>
          <w:color w:val="000000"/>
        </w:rPr>
      </w:pPr>
    </w:p>
    <w:p w:rsidR="00F9656A" w:rsidRPr="00936CE3" w:rsidRDefault="00A41703" w:rsidP="00EC6A54">
      <w:pPr>
        <w:spacing w:after="0" w:line="240" w:lineRule="auto"/>
        <w:ind w:firstLine="720"/>
        <w:jc w:val="both"/>
        <w:rPr>
          <w:rFonts w:asciiTheme="minorHAnsi" w:hAnsiTheme="minorHAnsi" w:cstheme="minorHAnsi"/>
          <w:i/>
          <w:lang w:val="en-GB"/>
        </w:rPr>
      </w:pPr>
      <w:r w:rsidRPr="00936CE3">
        <w:rPr>
          <w:rFonts w:asciiTheme="minorHAnsi" w:hAnsiTheme="minorHAnsi" w:cstheme="minorHAnsi"/>
          <w:i/>
          <w:color w:val="000000"/>
        </w:rPr>
        <w:t xml:space="preserve">What experiences can be drawn on from other post conflict countries? </w:t>
      </w:r>
    </w:p>
    <w:p w:rsidR="00F9656A" w:rsidRPr="00936CE3" w:rsidRDefault="00A41703" w:rsidP="00EC6A54">
      <w:pPr>
        <w:numPr>
          <w:ilvl w:val="1"/>
          <w:numId w:val="9"/>
        </w:numPr>
        <w:spacing w:after="0" w:line="240" w:lineRule="auto"/>
        <w:jc w:val="both"/>
        <w:rPr>
          <w:rFonts w:asciiTheme="minorHAnsi" w:hAnsiTheme="minorHAnsi" w:cstheme="minorHAnsi"/>
          <w:lang w:val="en-GB"/>
        </w:rPr>
      </w:pPr>
      <w:r w:rsidRPr="00936CE3">
        <w:rPr>
          <w:rFonts w:asciiTheme="minorHAnsi" w:hAnsiTheme="minorHAnsi" w:cstheme="minorHAnsi"/>
          <w:color w:val="000000"/>
        </w:rPr>
        <w:t>What can be learned from similar examples outside of Burundi? How have extra-parliamentary opposition parties been included in political/electoral processes?</w:t>
      </w:r>
    </w:p>
    <w:p w:rsidR="00F9656A" w:rsidRPr="00936CE3" w:rsidRDefault="00F9656A" w:rsidP="00EC6A54">
      <w:pPr>
        <w:spacing w:after="0" w:line="240" w:lineRule="auto"/>
        <w:jc w:val="both"/>
        <w:rPr>
          <w:rFonts w:asciiTheme="minorHAnsi" w:hAnsiTheme="minorHAnsi" w:cstheme="minorHAnsi"/>
          <w:lang w:val="en-GB"/>
        </w:rPr>
      </w:pPr>
    </w:p>
    <w:p w:rsidR="006B5194" w:rsidRDefault="006B5194" w:rsidP="00EC6A54">
      <w:pPr>
        <w:keepNext/>
        <w:spacing w:after="0" w:line="240" w:lineRule="auto"/>
        <w:ind w:left="720"/>
        <w:jc w:val="both"/>
        <w:rPr>
          <w:rFonts w:asciiTheme="minorHAnsi" w:hAnsiTheme="minorHAnsi" w:cstheme="minorHAnsi"/>
          <w:b/>
          <w:lang w:val="en-GB"/>
        </w:rPr>
      </w:pPr>
    </w:p>
    <w:p w:rsidR="00F9656A" w:rsidRPr="00936CE3" w:rsidRDefault="00A41703" w:rsidP="00EC6A54">
      <w:pPr>
        <w:keepNext/>
        <w:spacing w:after="0" w:line="240" w:lineRule="auto"/>
        <w:ind w:left="720"/>
        <w:jc w:val="both"/>
        <w:rPr>
          <w:rFonts w:asciiTheme="minorHAnsi" w:hAnsiTheme="minorHAnsi" w:cstheme="minorHAnsi"/>
          <w:b/>
          <w:lang w:val="en-GB"/>
        </w:rPr>
      </w:pPr>
      <w:r w:rsidRPr="00936CE3">
        <w:rPr>
          <w:rFonts w:asciiTheme="minorHAnsi" w:hAnsiTheme="minorHAnsi" w:cstheme="minorHAnsi"/>
          <w:b/>
          <w:lang w:val="en-GB"/>
        </w:rPr>
        <w:t>Cluster III –</w:t>
      </w:r>
      <w:r w:rsidR="00144951" w:rsidRPr="00936CE3">
        <w:rPr>
          <w:rFonts w:asciiTheme="minorHAnsi" w:hAnsiTheme="minorHAnsi" w:cstheme="minorHAnsi"/>
          <w:b/>
          <w:lang w:val="en-GB"/>
        </w:rPr>
        <w:t xml:space="preserve"> A r</w:t>
      </w:r>
      <w:r w:rsidR="00CA5143" w:rsidRPr="00936CE3">
        <w:rPr>
          <w:rFonts w:asciiTheme="minorHAnsi" w:hAnsiTheme="minorHAnsi" w:cstheme="minorHAnsi"/>
          <w:b/>
          <w:lang w:val="en-GB"/>
        </w:rPr>
        <w:t xml:space="preserve">oadmap </w:t>
      </w:r>
      <w:r w:rsidR="00144951" w:rsidRPr="00936CE3">
        <w:rPr>
          <w:rFonts w:asciiTheme="minorHAnsi" w:hAnsiTheme="minorHAnsi" w:cstheme="minorHAnsi"/>
          <w:b/>
          <w:lang w:val="en-GB"/>
        </w:rPr>
        <w:t xml:space="preserve">for the </w:t>
      </w:r>
      <w:r w:rsidR="00CA5143" w:rsidRPr="00936CE3">
        <w:rPr>
          <w:rFonts w:asciiTheme="minorHAnsi" w:hAnsiTheme="minorHAnsi" w:cstheme="minorHAnsi"/>
          <w:b/>
          <w:lang w:val="en-GB"/>
        </w:rPr>
        <w:t>2015 elections</w:t>
      </w:r>
    </w:p>
    <w:p w:rsidR="00EC6A54" w:rsidRPr="00936CE3" w:rsidRDefault="00EC6A54" w:rsidP="00EC6A54">
      <w:pPr>
        <w:keepNext/>
        <w:spacing w:after="0" w:line="240" w:lineRule="auto"/>
        <w:ind w:left="720"/>
        <w:jc w:val="both"/>
        <w:rPr>
          <w:rFonts w:asciiTheme="minorHAnsi" w:hAnsiTheme="minorHAnsi" w:cstheme="minorHAnsi"/>
          <w:b/>
          <w:lang w:val="en-GB"/>
        </w:rPr>
      </w:pPr>
    </w:p>
    <w:p w:rsidR="00CA5143" w:rsidRPr="00936CE3" w:rsidRDefault="00CA5143" w:rsidP="00EC6A54">
      <w:pPr>
        <w:numPr>
          <w:ilvl w:val="1"/>
          <w:numId w:val="10"/>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Conclusions from Clusters I and II</w:t>
      </w:r>
      <w:r w:rsidR="00EA25CA" w:rsidRPr="00936CE3">
        <w:rPr>
          <w:rFonts w:asciiTheme="minorHAnsi" w:hAnsiTheme="minorHAnsi" w:cstheme="minorHAnsi"/>
          <w:lang w:val="en-GB"/>
        </w:rPr>
        <w:t>: reaching consensus on how to best apply lessons learned from 2010</w:t>
      </w:r>
      <w:r w:rsidRPr="00936CE3">
        <w:rPr>
          <w:rFonts w:asciiTheme="minorHAnsi" w:hAnsiTheme="minorHAnsi" w:cstheme="minorHAnsi"/>
          <w:lang w:val="en-GB"/>
        </w:rPr>
        <w:t>.</w:t>
      </w:r>
    </w:p>
    <w:p w:rsidR="00F9656A" w:rsidRPr="00936CE3" w:rsidRDefault="00805F78" w:rsidP="00EC6A54">
      <w:pPr>
        <w:numPr>
          <w:ilvl w:val="1"/>
          <w:numId w:val="10"/>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 xml:space="preserve">Funding the 2015 elections: Based on existing resources from 2010, what is the estimated budget for 2015? What does the government foresee in its budget? </w:t>
      </w:r>
      <w:r w:rsidR="00A41703" w:rsidRPr="00936CE3">
        <w:rPr>
          <w:rFonts w:asciiTheme="minorHAnsi" w:hAnsiTheme="minorHAnsi" w:cstheme="minorHAnsi"/>
          <w:lang w:val="en-GB"/>
        </w:rPr>
        <w:t xml:space="preserve">How can the international community or/and regional partners/organisations help to </w:t>
      </w:r>
      <w:r w:rsidR="00144951" w:rsidRPr="00936CE3">
        <w:rPr>
          <w:rFonts w:asciiTheme="minorHAnsi" w:hAnsiTheme="minorHAnsi" w:cstheme="minorHAnsi"/>
          <w:lang w:val="en-GB"/>
        </w:rPr>
        <w:t xml:space="preserve">mobilize </w:t>
      </w:r>
      <w:r w:rsidR="00A41703" w:rsidRPr="00936CE3">
        <w:rPr>
          <w:rFonts w:asciiTheme="minorHAnsi" w:hAnsiTheme="minorHAnsi" w:cstheme="minorHAnsi"/>
          <w:lang w:val="en-GB"/>
        </w:rPr>
        <w:t xml:space="preserve">funds for the 2015 election?  </w:t>
      </w:r>
    </w:p>
    <w:p w:rsidR="00F9656A" w:rsidRPr="00936CE3" w:rsidRDefault="00A41703" w:rsidP="00EC6A54">
      <w:pPr>
        <w:numPr>
          <w:ilvl w:val="1"/>
          <w:numId w:val="10"/>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Security: What must be done before 2015 to ensure free and fair elections</w:t>
      </w:r>
      <w:r w:rsidR="004C083E" w:rsidRPr="00936CE3">
        <w:rPr>
          <w:rFonts w:asciiTheme="minorHAnsi" w:hAnsiTheme="minorHAnsi" w:cstheme="minorHAnsi"/>
          <w:lang w:val="en-GB"/>
        </w:rPr>
        <w:t xml:space="preserve"> (Police training, etc.)</w:t>
      </w:r>
      <w:r w:rsidRPr="00936CE3">
        <w:rPr>
          <w:rFonts w:asciiTheme="minorHAnsi" w:hAnsiTheme="minorHAnsi" w:cstheme="minorHAnsi"/>
          <w:lang w:val="en-GB"/>
        </w:rPr>
        <w:t xml:space="preserve">? </w:t>
      </w:r>
    </w:p>
    <w:p w:rsidR="00CA5143" w:rsidRPr="00936CE3" w:rsidRDefault="00CA5143" w:rsidP="00EC6A54">
      <w:pPr>
        <w:numPr>
          <w:ilvl w:val="1"/>
          <w:numId w:val="10"/>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 xml:space="preserve">Developing a detailed roadmap </w:t>
      </w:r>
      <w:r w:rsidR="004C083E" w:rsidRPr="00936CE3">
        <w:rPr>
          <w:rFonts w:asciiTheme="minorHAnsi" w:hAnsiTheme="minorHAnsi" w:cstheme="minorHAnsi"/>
          <w:lang w:val="en-GB"/>
        </w:rPr>
        <w:t>to help ensure</w:t>
      </w:r>
      <w:r w:rsidRPr="00936CE3">
        <w:rPr>
          <w:rFonts w:asciiTheme="minorHAnsi" w:hAnsiTheme="minorHAnsi" w:cstheme="minorHAnsi"/>
          <w:lang w:val="en-GB"/>
        </w:rPr>
        <w:t xml:space="preserve"> a </w:t>
      </w:r>
      <w:r w:rsidR="00EA25CA" w:rsidRPr="00936CE3">
        <w:rPr>
          <w:rFonts w:asciiTheme="minorHAnsi" w:hAnsiTheme="minorHAnsi" w:cstheme="minorHAnsi"/>
          <w:lang w:val="en-GB"/>
        </w:rPr>
        <w:t>conducive</w:t>
      </w:r>
      <w:r w:rsidRPr="00936CE3">
        <w:rPr>
          <w:rFonts w:asciiTheme="minorHAnsi" w:hAnsiTheme="minorHAnsi" w:cstheme="minorHAnsi"/>
          <w:lang w:val="en-GB"/>
        </w:rPr>
        <w:t xml:space="preserve"> environment for the holding of the 2015 elections. </w:t>
      </w:r>
    </w:p>
    <w:p w:rsidR="00EC6A54" w:rsidRPr="00936CE3" w:rsidRDefault="00EC6A54" w:rsidP="00EC6A54">
      <w:pPr>
        <w:spacing w:after="0" w:line="240" w:lineRule="auto"/>
        <w:jc w:val="both"/>
        <w:rPr>
          <w:rFonts w:asciiTheme="minorHAnsi" w:hAnsiTheme="minorHAnsi" w:cstheme="minorHAnsi"/>
          <w:b/>
          <w:lang w:val="en-GB"/>
        </w:rPr>
      </w:pPr>
    </w:p>
    <w:p w:rsidR="00F9656A"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Participants</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Representatives of all stakeholders should participate in the meeting, including</w:t>
      </w:r>
      <w:r w:rsidR="000B7913" w:rsidRPr="00936CE3">
        <w:rPr>
          <w:rFonts w:asciiTheme="minorHAnsi" w:hAnsiTheme="minorHAnsi" w:cstheme="minorHAnsi"/>
          <w:lang w:val="en-GB"/>
        </w:rPr>
        <w:t xml:space="preserve"> relevant ministries, the CENI, political parties, civil society, media, the international community and stakeholders from the 2010 elections.</w:t>
      </w:r>
    </w:p>
    <w:p w:rsidR="00DC22B9" w:rsidRPr="00936CE3" w:rsidRDefault="00DC22B9" w:rsidP="00EC6A54">
      <w:pPr>
        <w:spacing w:after="0" w:line="240" w:lineRule="auto"/>
        <w:jc w:val="both"/>
        <w:rPr>
          <w:rFonts w:asciiTheme="minorHAnsi" w:hAnsiTheme="minorHAnsi" w:cstheme="minorHAnsi"/>
          <w:b/>
          <w:lang w:val="en-GB"/>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Format</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The exercise would be held under the Chatham House Rule.</w:t>
      </w:r>
    </w:p>
    <w:p w:rsidR="00A41703" w:rsidRPr="00936CE3" w:rsidRDefault="00A41703" w:rsidP="00EC6A54">
      <w:pPr>
        <w:spacing w:after="0" w:line="240" w:lineRule="auto"/>
        <w:ind w:left="720"/>
        <w:jc w:val="both"/>
        <w:rPr>
          <w:rFonts w:asciiTheme="minorHAnsi" w:hAnsiTheme="minorHAnsi" w:cstheme="minorHAnsi"/>
          <w:lang w:val="en-GB"/>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Timing</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A41703"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To provide adequate time for preparations</w:t>
      </w:r>
      <w:r w:rsidR="001A7376" w:rsidRPr="00936CE3">
        <w:rPr>
          <w:rFonts w:asciiTheme="minorHAnsi" w:hAnsiTheme="minorHAnsi" w:cstheme="minorHAnsi"/>
          <w:lang w:val="en-GB"/>
        </w:rPr>
        <w:t xml:space="preserve"> and to better build upon the findings of the CENI consultations and other activities</w:t>
      </w:r>
      <w:r w:rsidRPr="00936CE3">
        <w:rPr>
          <w:rFonts w:asciiTheme="minorHAnsi" w:hAnsiTheme="minorHAnsi" w:cstheme="minorHAnsi"/>
          <w:lang w:val="en-GB"/>
        </w:rPr>
        <w:t xml:space="preserve">, the seminar could be held in </w:t>
      </w:r>
      <w:r w:rsidR="00926E98" w:rsidRPr="00936CE3">
        <w:rPr>
          <w:rFonts w:asciiTheme="minorHAnsi" w:hAnsiTheme="minorHAnsi" w:cstheme="minorHAnsi"/>
          <w:lang w:val="en-GB"/>
        </w:rPr>
        <w:t>February</w:t>
      </w:r>
      <w:r w:rsidR="00EC6A54" w:rsidRPr="00936CE3">
        <w:rPr>
          <w:rFonts w:asciiTheme="minorHAnsi" w:hAnsiTheme="minorHAnsi" w:cstheme="minorHAnsi"/>
          <w:lang w:val="en-GB"/>
        </w:rPr>
        <w:t>/March</w:t>
      </w:r>
      <w:r w:rsidR="00652E57" w:rsidRPr="00936CE3">
        <w:rPr>
          <w:rFonts w:asciiTheme="minorHAnsi" w:hAnsiTheme="minorHAnsi" w:cstheme="minorHAnsi"/>
          <w:lang w:val="en-GB"/>
        </w:rPr>
        <w:t xml:space="preserve"> 2013</w:t>
      </w:r>
      <w:r w:rsidRPr="00936CE3">
        <w:rPr>
          <w:rFonts w:asciiTheme="minorHAnsi" w:hAnsiTheme="minorHAnsi" w:cstheme="minorHAnsi"/>
          <w:lang w:val="en-GB"/>
        </w:rPr>
        <w:t xml:space="preserve">.  </w:t>
      </w:r>
    </w:p>
    <w:p w:rsidR="002E71C6" w:rsidRPr="00936CE3" w:rsidRDefault="002E71C6" w:rsidP="00EC6A54">
      <w:pPr>
        <w:spacing w:after="0" w:line="240" w:lineRule="auto"/>
        <w:jc w:val="both"/>
        <w:rPr>
          <w:rFonts w:asciiTheme="minorHAnsi" w:hAnsiTheme="minorHAnsi" w:cstheme="minorHAnsi"/>
          <w:b/>
        </w:rPr>
      </w:pPr>
    </w:p>
    <w:p w:rsidR="00A41703" w:rsidRPr="00936CE3" w:rsidRDefault="00A41703" w:rsidP="00EC6A54">
      <w:pPr>
        <w:spacing w:after="0" w:line="240" w:lineRule="auto"/>
        <w:jc w:val="both"/>
        <w:rPr>
          <w:rFonts w:asciiTheme="minorHAnsi" w:hAnsiTheme="minorHAnsi" w:cstheme="minorHAnsi"/>
          <w:b/>
          <w:lang w:val="en-GB"/>
        </w:rPr>
      </w:pPr>
      <w:r w:rsidRPr="00936CE3">
        <w:rPr>
          <w:rFonts w:asciiTheme="minorHAnsi" w:hAnsiTheme="minorHAnsi" w:cstheme="minorHAnsi"/>
          <w:b/>
          <w:lang w:val="en-GB"/>
        </w:rPr>
        <w:t>Outcome</w:t>
      </w:r>
    </w:p>
    <w:p w:rsidR="00EC6A54" w:rsidRPr="00936CE3" w:rsidRDefault="00EC6A54" w:rsidP="00EC6A54">
      <w:pPr>
        <w:spacing w:after="0" w:line="240" w:lineRule="auto"/>
        <w:jc w:val="both"/>
        <w:rPr>
          <w:rFonts w:asciiTheme="minorHAnsi" w:hAnsiTheme="minorHAnsi" w:cstheme="minorHAnsi"/>
          <w:b/>
          <w:lang w:val="en-GB"/>
        </w:rPr>
      </w:pPr>
    </w:p>
    <w:p w:rsidR="00CB36C3" w:rsidRPr="00936CE3" w:rsidRDefault="00EC6A54" w:rsidP="00EC6A54">
      <w:pPr>
        <w:pStyle w:val="ListParagraph"/>
        <w:widowControl w:val="0"/>
        <w:numPr>
          <w:ilvl w:val="0"/>
          <w:numId w:val="18"/>
        </w:numPr>
        <w:autoSpaceDE w:val="0"/>
        <w:autoSpaceDN w:val="0"/>
        <w:adjustRightInd w:val="0"/>
        <w:spacing w:after="0" w:line="240" w:lineRule="auto"/>
        <w:ind w:left="0" w:firstLine="0"/>
        <w:contextualSpacing w:val="0"/>
        <w:jc w:val="both"/>
        <w:rPr>
          <w:rFonts w:asciiTheme="minorHAnsi" w:hAnsiTheme="minorHAnsi" w:cstheme="minorHAnsi"/>
        </w:rPr>
      </w:pPr>
      <w:r w:rsidRPr="00936CE3">
        <w:rPr>
          <w:rFonts w:asciiTheme="minorHAnsi" w:hAnsiTheme="minorHAnsi" w:cstheme="minorHAnsi"/>
          <w:lang w:val="en-GB"/>
        </w:rPr>
        <w:t>The seminar</w:t>
      </w:r>
      <w:r w:rsidR="001A7376" w:rsidRPr="00936CE3">
        <w:rPr>
          <w:rFonts w:asciiTheme="minorHAnsi" w:hAnsiTheme="minorHAnsi" w:cstheme="minorHAnsi"/>
          <w:lang w:val="en-GB"/>
        </w:rPr>
        <w:t xml:space="preserve"> aim</w:t>
      </w:r>
      <w:r w:rsidRPr="00936CE3">
        <w:rPr>
          <w:rFonts w:asciiTheme="minorHAnsi" w:hAnsiTheme="minorHAnsi" w:cstheme="minorHAnsi"/>
          <w:lang w:val="en-GB"/>
        </w:rPr>
        <w:t>s</w:t>
      </w:r>
      <w:r w:rsidR="001A7376" w:rsidRPr="00936CE3">
        <w:rPr>
          <w:rFonts w:asciiTheme="minorHAnsi" w:hAnsiTheme="minorHAnsi" w:cstheme="minorHAnsi"/>
          <w:lang w:val="en-GB"/>
        </w:rPr>
        <w:t xml:space="preserve"> to help advance democratic debate in Burundi and create a more conducive environment for the holding of the 2015 elections. </w:t>
      </w:r>
      <w:r w:rsidR="00A41703" w:rsidRPr="00936CE3">
        <w:rPr>
          <w:rFonts w:asciiTheme="minorHAnsi" w:hAnsiTheme="minorHAnsi" w:cstheme="minorHAnsi"/>
          <w:lang w:val="en-GB"/>
        </w:rPr>
        <w:t>The outcome</w:t>
      </w:r>
      <w:r w:rsidR="005F3414" w:rsidRPr="00936CE3">
        <w:rPr>
          <w:rFonts w:asciiTheme="minorHAnsi" w:hAnsiTheme="minorHAnsi" w:cstheme="minorHAnsi"/>
          <w:lang w:val="en-GB"/>
        </w:rPr>
        <w:t xml:space="preserve"> </w:t>
      </w:r>
      <w:r w:rsidR="004C083E" w:rsidRPr="00936CE3">
        <w:rPr>
          <w:rFonts w:asciiTheme="minorHAnsi" w:hAnsiTheme="minorHAnsi" w:cstheme="minorHAnsi"/>
          <w:lang w:val="en-GB"/>
        </w:rPr>
        <w:t>would include</w:t>
      </w:r>
      <w:r w:rsidR="00A41703" w:rsidRPr="00936CE3">
        <w:rPr>
          <w:rFonts w:asciiTheme="minorHAnsi" w:hAnsiTheme="minorHAnsi" w:cstheme="minorHAnsi"/>
          <w:lang w:val="en-GB"/>
        </w:rPr>
        <w:t xml:space="preserve"> a Final Report </w:t>
      </w:r>
      <w:r w:rsidR="004C083E" w:rsidRPr="00936CE3">
        <w:rPr>
          <w:rFonts w:asciiTheme="minorHAnsi" w:hAnsiTheme="minorHAnsi" w:cstheme="minorHAnsi"/>
          <w:lang w:val="en-GB"/>
        </w:rPr>
        <w:t>containing</w:t>
      </w:r>
      <w:r w:rsidR="008F710C" w:rsidRPr="00936CE3">
        <w:rPr>
          <w:rFonts w:asciiTheme="minorHAnsi" w:hAnsiTheme="minorHAnsi" w:cstheme="minorHAnsi"/>
          <w:lang w:val="en-GB"/>
        </w:rPr>
        <w:t>:</w:t>
      </w:r>
    </w:p>
    <w:p w:rsidR="00144951" w:rsidRPr="00936CE3" w:rsidRDefault="00144951" w:rsidP="00EC6A54">
      <w:pPr>
        <w:pStyle w:val="ListParagraph"/>
        <w:widowControl w:val="0"/>
        <w:autoSpaceDE w:val="0"/>
        <w:autoSpaceDN w:val="0"/>
        <w:adjustRightInd w:val="0"/>
        <w:spacing w:after="0" w:line="240" w:lineRule="auto"/>
        <w:ind w:left="0"/>
        <w:contextualSpacing w:val="0"/>
        <w:jc w:val="both"/>
        <w:rPr>
          <w:rFonts w:asciiTheme="minorHAnsi" w:hAnsiTheme="minorHAnsi" w:cstheme="minorHAnsi"/>
        </w:rPr>
      </w:pPr>
    </w:p>
    <w:p w:rsidR="00A41703" w:rsidRPr="00936CE3" w:rsidRDefault="00A41703" w:rsidP="00EC6A54">
      <w:pPr>
        <w:pStyle w:val="ListParagraph"/>
        <w:numPr>
          <w:ilvl w:val="0"/>
          <w:numId w:val="15"/>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Overall lessons learned from 2010;</w:t>
      </w:r>
    </w:p>
    <w:p w:rsidR="00A41703" w:rsidRPr="00936CE3" w:rsidRDefault="00A41703" w:rsidP="00EC6A54">
      <w:pPr>
        <w:pStyle w:val="ListParagraph"/>
        <w:numPr>
          <w:ilvl w:val="0"/>
          <w:numId w:val="15"/>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Specific recommendations for the different stakeholders (government, Parliament, CENI, opposition parties, civil societies, NGOs, international community, UN, etc.)</w:t>
      </w:r>
      <w:r w:rsidR="0013785F" w:rsidRPr="00936CE3">
        <w:rPr>
          <w:rFonts w:asciiTheme="minorHAnsi" w:hAnsiTheme="minorHAnsi" w:cstheme="minorHAnsi"/>
          <w:lang w:val="en-GB"/>
        </w:rPr>
        <w:t>, and</w:t>
      </w:r>
      <w:r w:rsidRPr="00936CE3">
        <w:rPr>
          <w:rFonts w:asciiTheme="minorHAnsi" w:hAnsiTheme="minorHAnsi" w:cstheme="minorHAnsi"/>
          <w:lang w:val="en-GB"/>
        </w:rPr>
        <w:t>;</w:t>
      </w:r>
    </w:p>
    <w:p w:rsidR="00A41703" w:rsidRPr="00936CE3" w:rsidRDefault="008F710C" w:rsidP="00EC6A54">
      <w:pPr>
        <w:pStyle w:val="ListParagraph"/>
        <w:numPr>
          <w:ilvl w:val="0"/>
          <w:numId w:val="15"/>
        </w:numPr>
        <w:spacing w:after="0" w:line="240" w:lineRule="auto"/>
        <w:jc w:val="both"/>
        <w:rPr>
          <w:rFonts w:asciiTheme="minorHAnsi" w:hAnsiTheme="minorHAnsi" w:cstheme="minorHAnsi"/>
          <w:lang w:val="en-GB"/>
        </w:rPr>
      </w:pPr>
      <w:r w:rsidRPr="00936CE3">
        <w:rPr>
          <w:rFonts w:asciiTheme="minorHAnsi" w:hAnsiTheme="minorHAnsi" w:cstheme="minorHAnsi"/>
          <w:lang w:val="en-GB"/>
        </w:rPr>
        <w:t>D</w:t>
      </w:r>
      <w:r w:rsidR="00A41703" w:rsidRPr="00936CE3">
        <w:rPr>
          <w:rFonts w:asciiTheme="minorHAnsi" w:hAnsiTheme="minorHAnsi" w:cstheme="minorHAnsi"/>
          <w:lang w:val="en-GB"/>
        </w:rPr>
        <w:t xml:space="preserve">etailed </w:t>
      </w:r>
      <w:r w:rsidR="0063071C">
        <w:rPr>
          <w:rFonts w:asciiTheme="minorHAnsi" w:hAnsiTheme="minorHAnsi" w:cstheme="minorHAnsi"/>
          <w:lang w:val="en-GB"/>
        </w:rPr>
        <w:t xml:space="preserve">elements for a </w:t>
      </w:r>
      <w:r w:rsidR="00A41703" w:rsidRPr="00936CE3">
        <w:rPr>
          <w:rFonts w:asciiTheme="minorHAnsi" w:hAnsiTheme="minorHAnsi" w:cstheme="minorHAnsi"/>
          <w:lang w:val="en-GB"/>
        </w:rPr>
        <w:t xml:space="preserve">road map towards the 2015 elections, for consideration by key decision-making institutions involved in the electoral process. </w:t>
      </w:r>
    </w:p>
    <w:sectPr w:rsidR="00A41703" w:rsidRPr="00936CE3" w:rsidSect="009D765B">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013" w:rsidRDefault="00F76013" w:rsidP="009D765B">
      <w:pPr>
        <w:spacing w:after="0" w:line="240" w:lineRule="auto"/>
      </w:pPr>
      <w:r>
        <w:separator/>
      </w:r>
    </w:p>
  </w:endnote>
  <w:endnote w:type="continuationSeparator" w:id="1">
    <w:p w:rsidR="00F76013" w:rsidRDefault="00F76013" w:rsidP="009D7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5" w:rsidRDefault="003B63BB">
    <w:pPr>
      <w:pStyle w:val="Footer"/>
      <w:jc w:val="right"/>
    </w:pPr>
    <w:fldSimple w:instr=" PAGE   \* MERGEFORMAT ">
      <w:r w:rsidR="001B47A5">
        <w:rPr>
          <w:noProof/>
        </w:rPr>
        <w:t>4</w:t>
      </w:r>
    </w:fldSimple>
  </w:p>
  <w:p w:rsidR="00E27A55" w:rsidRDefault="00E27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013" w:rsidRDefault="00F76013" w:rsidP="009D765B">
      <w:pPr>
        <w:spacing w:after="0" w:line="240" w:lineRule="auto"/>
      </w:pPr>
      <w:r>
        <w:separator/>
      </w:r>
    </w:p>
  </w:footnote>
  <w:footnote w:type="continuationSeparator" w:id="1">
    <w:p w:rsidR="00F76013" w:rsidRDefault="00F76013" w:rsidP="009D7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5" w:rsidRPr="00D71951" w:rsidRDefault="00D71951" w:rsidP="00D82FD8">
    <w:pPr>
      <w:jc w:val="center"/>
      <w:rPr>
        <w:rFonts w:ascii="Times New Roman" w:hAnsi="Times New Roman"/>
        <w:b/>
      </w:rPr>
    </w:pPr>
    <w:r w:rsidRPr="00D71951">
      <w:rPr>
        <w:rFonts w:ascii="Times New Roman" w:hAnsi="Times New Roman"/>
        <w:b/>
      </w:rPr>
      <w:t>Concept Note on Electoral Lessons Learned Workshop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ECD"/>
    <w:multiLevelType w:val="hybridMultilevel"/>
    <w:tmpl w:val="A7B0BEF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6E0C90"/>
    <w:multiLevelType w:val="hybridMultilevel"/>
    <w:tmpl w:val="40BE07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6081"/>
    <w:multiLevelType w:val="multilevel"/>
    <w:tmpl w:val="F53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F2C3D"/>
    <w:multiLevelType w:val="multilevel"/>
    <w:tmpl w:val="3D8A5FB0"/>
    <w:lvl w:ilvl="0">
      <w:start w:val="1"/>
      <w:numFmt w:val="decimal"/>
      <w:lvlText w:val="%1."/>
      <w:lvlJc w:val="left"/>
      <w:rPr>
        <w:rFonts w:ascii="Courier New" w:hAnsi="Courier New" w:cs="Courier New" w:hint="default"/>
        <w:b w:val="0"/>
        <w:color w:val="auto"/>
        <w:sz w:val="24"/>
        <w:szCs w:val="24"/>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C6C3230"/>
    <w:multiLevelType w:val="hybridMultilevel"/>
    <w:tmpl w:val="4AA27F1E"/>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CE143FE"/>
    <w:multiLevelType w:val="hybridMultilevel"/>
    <w:tmpl w:val="2326AF1C"/>
    <w:lvl w:ilvl="0" w:tplc="169469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637D8B"/>
    <w:multiLevelType w:val="hybridMultilevel"/>
    <w:tmpl w:val="A50A1704"/>
    <w:lvl w:ilvl="0" w:tplc="51BAA742">
      <w:start w:val="1"/>
      <w:numFmt w:val="bullet"/>
      <w:lvlText w:val="•"/>
      <w:lvlJc w:val="left"/>
      <w:pPr>
        <w:tabs>
          <w:tab w:val="num" w:pos="720"/>
        </w:tabs>
        <w:ind w:left="720" w:hanging="360"/>
      </w:pPr>
      <w:rPr>
        <w:rFonts w:ascii="Arial" w:hAnsi="Arial" w:hint="default"/>
      </w:rPr>
    </w:lvl>
    <w:lvl w:ilvl="1" w:tplc="13A87130" w:tentative="1">
      <w:start w:val="1"/>
      <w:numFmt w:val="bullet"/>
      <w:lvlText w:val="•"/>
      <w:lvlJc w:val="left"/>
      <w:pPr>
        <w:tabs>
          <w:tab w:val="num" w:pos="1440"/>
        </w:tabs>
        <w:ind w:left="1440" w:hanging="360"/>
      </w:pPr>
      <w:rPr>
        <w:rFonts w:ascii="Arial" w:hAnsi="Arial" w:hint="default"/>
      </w:rPr>
    </w:lvl>
    <w:lvl w:ilvl="2" w:tplc="B1C8DA76" w:tentative="1">
      <w:start w:val="1"/>
      <w:numFmt w:val="bullet"/>
      <w:lvlText w:val="•"/>
      <w:lvlJc w:val="left"/>
      <w:pPr>
        <w:tabs>
          <w:tab w:val="num" w:pos="2160"/>
        </w:tabs>
        <w:ind w:left="2160" w:hanging="360"/>
      </w:pPr>
      <w:rPr>
        <w:rFonts w:ascii="Arial" w:hAnsi="Arial" w:hint="default"/>
      </w:rPr>
    </w:lvl>
    <w:lvl w:ilvl="3" w:tplc="792C073E" w:tentative="1">
      <w:start w:val="1"/>
      <w:numFmt w:val="bullet"/>
      <w:lvlText w:val="•"/>
      <w:lvlJc w:val="left"/>
      <w:pPr>
        <w:tabs>
          <w:tab w:val="num" w:pos="2880"/>
        </w:tabs>
        <w:ind w:left="2880" w:hanging="360"/>
      </w:pPr>
      <w:rPr>
        <w:rFonts w:ascii="Arial" w:hAnsi="Arial" w:hint="default"/>
      </w:rPr>
    </w:lvl>
    <w:lvl w:ilvl="4" w:tplc="540CCB8A" w:tentative="1">
      <w:start w:val="1"/>
      <w:numFmt w:val="bullet"/>
      <w:lvlText w:val="•"/>
      <w:lvlJc w:val="left"/>
      <w:pPr>
        <w:tabs>
          <w:tab w:val="num" w:pos="3600"/>
        </w:tabs>
        <w:ind w:left="3600" w:hanging="360"/>
      </w:pPr>
      <w:rPr>
        <w:rFonts w:ascii="Arial" w:hAnsi="Arial" w:hint="default"/>
      </w:rPr>
    </w:lvl>
    <w:lvl w:ilvl="5" w:tplc="FFD8ACDC" w:tentative="1">
      <w:start w:val="1"/>
      <w:numFmt w:val="bullet"/>
      <w:lvlText w:val="•"/>
      <w:lvlJc w:val="left"/>
      <w:pPr>
        <w:tabs>
          <w:tab w:val="num" w:pos="4320"/>
        </w:tabs>
        <w:ind w:left="4320" w:hanging="360"/>
      </w:pPr>
      <w:rPr>
        <w:rFonts w:ascii="Arial" w:hAnsi="Arial" w:hint="default"/>
      </w:rPr>
    </w:lvl>
    <w:lvl w:ilvl="6" w:tplc="EF205672" w:tentative="1">
      <w:start w:val="1"/>
      <w:numFmt w:val="bullet"/>
      <w:lvlText w:val="•"/>
      <w:lvlJc w:val="left"/>
      <w:pPr>
        <w:tabs>
          <w:tab w:val="num" w:pos="5040"/>
        </w:tabs>
        <w:ind w:left="5040" w:hanging="360"/>
      </w:pPr>
      <w:rPr>
        <w:rFonts w:ascii="Arial" w:hAnsi="Arial" w:hint="default"/>
      </w:rPr>
    </w:lvl>
    <w:lvl w:ilvl="7" w:tplc="C44ACCEE" w:tentative="1">
      <w:start w:val="1"/>
      <w:numFmt w:val="bullet"/>
      <w:lvlText w:val="•"/>
      <w:lvlJc w:val="left"/>
      <w:pPr>
        <w:tabs>
          <w:tab w:val="num" w:pos="5760"/>
        </w:tabs>
        <w:ind w:left="5760" w:hanging="360"/>
      </w:pPr>
      <w:rPr>
        <w:rFonts w:ascii="Arial" w:hAnsi="Arial" w:hint="default"/>
      </w:rPr>
    </w:lvl>
    <w:lvl w:ilvl="8" w:tplc="5BD0A5F4" w:tentative="1">
      <w:start w:val="1"/>
      <w:numFmt w:val="bullet"/>
      <w:lvlText w:val="•"/>
      <w:lvlJc w:val="left"/>
      <w:pPr>
        <w:tabs>
          <w:tab w:val="num" w:pos="6480"/>
        </w:tabs>
        <w:ind w:left="6480" w:hanging="360"/>
      </w:pPr>
      <w:rPr>
        <w:rFonts w:ascii="Arial" w:hAnsi="Arial" w:hint="default"/>
      </w:rPr>
    </w:lvl>
  </w:abstractNum>
  <w:abstractNum w:abstractNumId="7">
    <w:nsid w:val="1D190847"/>
    <w:multiLevelType w:val="hybridMultilevel"/>
    <w:tmpl w:val="6260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4BE9BD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F0094"/>
    <w:multiLevelType w:val="hybridMultilevel"/>
    <w:tmpl w:val="CD62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FB570E"/>
    <w:multiLevelType w:val="hybridMultilevel"/>
    <w:tmpl w:val="0F160A30"/>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4684535"/>
    <w:multiLevelType w:val="hybridMultilevel"/>
    <w:tmpl w:val="7D2A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63F0C"/>
    <w:multiLevelType w:val="hybridMultilevel"/>
    <w:tmpl w:val="921CD090"/>
    <w:lvl w:ilvl="0" w:tplc="79D0BF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F26758"/>
    <w:multiLevelType w:val="hybridMultilevel"/>
    <w:tmpl w:val="B35C745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F88765C"/>
    <w:multiLevelType w:val="hybridMultilevel"/>
    <w:tmpl w:val="F93061D2"/>
    <w:lvl w:ilvl="0" w:tplc="0A7C8E68">
      <w:start w:val="1"/>
      <w:numFmt w:val="bullet"/>
      <w:lvlText w:val="•"/>
      <w:lvlJc w:val="left"/>
      <w:pPr>
        <w:tabs>
          <w:tab w:val="num" w:pos="720"/>
        </w:tabs>
        <w:ind w:left="720" w:hanging="360"/>
      </w:pPr>
      <w:rPr>
        <w:rFonts w:ascii="Arial" w:hAnsi="Arial" w:hint="default"/>
      </w:rPr>
    </w:lvl>
    <w:lvl w:ilvl="1" w:tplc="A72CF522" w:tentative="1">
      <w:start w:val="1"/>
      <w:numFmt w:val="bullet"/>
      <w:lvlText w:val="•"/>
      <w:lvlJc w:val="left"/>
      <w:pPr>
        <w:tabs>
          <w:tab w:val="num" w:pos="1440"/>
        </w:tabs>
        <w:ind w:left="1440" w:hanging="360"/>
      </w:pPr>
      <w:rPr>
        <w:rFonts w:ascii="Arial" w:hAnsi="Arial" w:hint="default"/>
      </w:rPr>
    </w:lvl>
    <w:lvl w:ilvl="2" w:tplc="AD0890F4" w:tentative="1">
      <w:start w:val="1"/>
      <w:numFmt w:val="bullet"/>
      <w:lvlText w:val="•"/>
      <w:lvlJc w:val="left"/>
      <w:pPr>
        <w:tabs>
          <w:tab w:val="num" w:pos="2160"/>
        </w:tabs>
        <w:ind w:left="2160" w:hanging="360"/>
      </w:pPr>
      <w:rPr>
        <w:rFonts w:ascii="Arial" w:hAnsi="Arial" w:hint="default"/>
      </w:rPr>
    </w:lvl>
    <w:lvl w:ilvl="3" w:tplc="5920783C" w:tentative="1">
      <w:start w:val="1"/>
      <w:numFmt w:val="bullet"/>
      <w:lvlText w:val="•"/>
      <w:lvlJc w:val="left"/>
      <w:pPr>
        <w:tabs>
          <w:tab w:val="num" w:pos="2880"/>
        </w:tabs>
        <w:ind w:left="2880" w:hanging="360"/>
      </w:pPr>
      <w:rPr>
        <w:rFonts w:ascii="Arial" w:hAnsi="Arial" w:hint="default"/>
      </w:rPr>
    </w:lvl>
    <w:lvl w:ilvl="4" w:tplc="2818A324" w:tentative="1">
      <w:start w:val="1"/>
      <w:numFmt w:val="bullet"/>
      <w:lvlText w:val="•"/>
      <w:lvlJc w:val="left"/>
      <w:pPr>
        <w:tabs>
          <w:tab w:val="num" w:pos="3600"/>
        </w:tabs>
        <w:ind w:left="3600" w:hanging="360"/>
      </w:pPr>
      <w:rPr>
        <w:rFonts w:ascii="Arial" w:hAnsi="Arial" w:hint="default"/>
      </w:rPr>
    </w:lvl>
    <w:lvl w:ilvl="5" w:tplc="35EC2AD2" w:tentative="1">
      <w:start w:val="1"/>
      <w:numFmt w:val="bullet"/>
      <w:lvlText w:val="•"/>
      <w:lvlJc w:val="left"/>
      <w:pPr>
        <w:tabs>
          <w:tab w:val="num" w:pos="4320"/>
        </w:tabs>
        <w:ind w:left="4320" w:hanging="360"/>
      </w:pPr>
      <w:rPr>
        <w:rFonts w:ascii="Arial" w:hAnsi="Arial" w:hint="default"/>
      </w:rPr>
    </w:lvl>
    <w:lvl w:ilvl="6" w:tplc="1864F696" w:tentative="1">
      <w:start w:val="1"/>
      <w:numFmt w:val="bullet"/>
      <w:lvlText w:val="•"/>
      <w:lvlJc w:val="left"/>
      <w:pPr>
        <w:tabs>
          <w:tab w:val="num" w:pos="5040"/>
        </w:tabs>
        <w:ind w:left="5040" w:hanging="360"/>
      </w:pPr>
      <w:rPr>
        <w:rFonts w:ascii="Arial" w:hAnsi="Arial" w:hint="default"/>
      </w:rPr>
    </w:lvl>
    <w:lvl w:ilvl="7" w:tplc="8ABE04A0" w:tentative="1">
      <w:start w:val="1"/>
      <w:numFmt w:val="bullet"/>
      <w:lvlText w:val="•"/>
      <w:lvlJc w:val="left"/>
      <w:pPr>
        <w:tabs>
          <w:tab w:val="num" w:pos="5760"/>
        </w:tabs>
        <w:ind w:left="5760" w:hanging="360"/>
      </w:pPr>
      <w:rPr>
        <w:rFonts w:ascii="Arial" w:hAnsi="Arial" w:hint="default"/>
      </w:rPr>
    </w:lvl>
    <w:lvl w:ilvl="8" w:tplc="E0B2B52C" w:tentative="1">
      <w:start w:val="1"/>
      <w:numFmt w:val="bullet"/>
      <w:lvlText w:val="•"/>
      <w:lvlJc w:val="left"/>
      <w:pPr>
        <w:tabs>
          <w:tab w:val="num" w:pos="6480"/>
        </w:tabs>
        <w:ind w:left="6480" w:hanging="360"/>
      </w:pPr>
      <w:rPr>
        <w:rFonts w:ascii="Arial" w:hAnsi="Arial" w:hint="default"/>
      </w:rPr>
    </w:lvl>
  </w:abstractNum>
  <w:abstractNum w:abstractNumId="14">
    <w:nsid w:val="48C146F3"/>
    <w:multiLevelType w:val="hybridMultilevel"/>
    <w:tmpl w:val="D10A20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6F4E9A"/>
    <w:multiLevelType w:val="hybridMultilevel"/>
    <w:tmpl w:val="262833B8"/>
    <w:lvl w:ilvl="0" w:tplc="8290549A">
      <w:start w:val="3"/>
      <w:numFmt w:val="bullet"/>
      <w:lvlText w:val="-"/>
      <w:lvlJc w:val="left"/>
      <w:pPr>
        <w:ind w:left="1080" w:hanging="360"/>
      </w:pPr>
      <w:rPr>
        <w:rFonts w:ascii="AGaramondPro-Regular" w:eastAsiaTheme="minorEastAsia" w:hAnsi="AGaramondPro-Regular" w:cs="AGaramondPro-Regular"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3A43C9"/>
    <w:multiLevelType w:val="hybridMultilevel"/>
    <w:tmpl w:val="4E4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33E81"/>
    <w:multiLevelType w:val="hybridMultilevel"/>
    <w:tmpl w:val="281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23DCB"/>
    <w:multiLevelType w:val="hybridMultilevel"/>
    <w:tmpl w:val="C0D2E464"/>
    <w:lvl w:ilvl="0" w:tplc="2C622C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A8D4EEC"/>
    <w:multiLevelType w:val="hybridMultilevel"/>
    <w:tmpl w:val="D82A3BDC"/>
    <w:lvl w:ilvl="0" w:tplc="04090003">
      <w:start w:val="1"/>
      <w:numFmt w:val="bullet"/>
      <w:lvlText w:val="o"/>
      <w:lvlJc w:val="left"/>
      <w:pPr>
        <w:ind w:left="720" w:hanging="360"/>
      </w:pPr>
      <w:rPr>
        <w:rFonts w:ascii="Courier New" w:hAnsi="Courier New" w:hint="default"/>
      </w:rPr>
    </w:lvl>
    <w:lvl w:ilvl="1" w:tplc="CAA831A4">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D19B8"/>
    <w:multiLevelType w:val="hybridMultilevel"/>
    <w:tmpl w:val="C1C4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45889"/>
    <w:multiLevelType w:val="hybridMultilevel"/>
    <w:tmpl w:val="A3E634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2"/>
  </w:num>
  <w:num w:numId="5">
    <w:abstractNumId w:val="0"/>
  </w:num>
  <w:num w:numId="6">
    <w:abstractNumId w:val="5"/>
  </w:num>
  <w:num w:numId="7">
    <w:abstractNumId w:val="20"/>
  </w:num>
  <w:num w:numId="8">
    <w:abstractNumId w:val="7"/>
  </w:num>
  <w:num w:numId="9">
    <w:abstractNumId w:val="19"/>
  </w:num>
  <w:num w:numId="10">
    <w:abstractNumId w:val="1"/>
  </w:num>
  <w:num w:numId="11">
    <w:abstractNumId w:val="21"/>
  </w:num>
  <w:num w:numId="12">
    <w:abstractNumId w:val="18"/>
  </w:num>
  <w:num w:numId="13">
    <w:abstractNumId w:val="9"/>
  </w:num>
  <w:num w:numId="14">
    <w:abstractNumId w:val="10"/>
  </w:num>
  <w:num w:numId="15">
    <w:abstractNumId w:val="8"/>
  </w:num>
  <w:num w:numId="16">
    <w:abstractNumId w:val="3"/>
  </w:num>
  <w:num w:numId="17">
    <w:abstractNumId w:val="4"/>
  </w:num>
  <w:num w:numId="18">
    <w:abstractNumId w:val="11"/>
  </w:num>
  <w:num w:numId="19">
    <w:abstractNumId w:val="17"/>
  </w:num>
  <w:num w:numId="20">
    <w:abstractNumId w:val="16"/>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30D3"/>
    <w:rsid w:val="00007DFE"/>
    <w:rsid w:val="000117D7"/>
    <w:rsid w:val="0001226F"/>
    <w:rsid w:val="00015FFA"/>
    <w:rsid w:val="00023131"/>
    <w:rsid w:val="00035CE9"/>
    <w:rsid w:val="00046652"/>
    <w:rsid w:val="00054D4C"/>
    <w:rsid w:val="000628BD"/>
    <w:rsid w:val="00080362"/>
    <w:rsid w:val="00097D2F"/>
    <w:rsid w:val="000B01BD"/>
    <w:rsid w:val="000B7913"/>
    <w:rsid w:val="000C5817"/>
    <w:rsid w:val="000D07D8"/>
    <w:rsid w:val="000D0F28"/>
    <w:rsid w:val="000D1F7B"/>
    <w:rsid w:val="000D2331"/>
    <w:rsid w:val="000D3B8D"/>
    <w:rsid w:val="000D5910"/>
    <w:rsid w:val="000E4A6D"/>
    <w:rsid w:val="000F1F76"/>
    <w:rsid w:val="000F709C"/>
    <w:rsid w:val="0010071B"/>
    <w:rsid w:val="001018A7"/>
    <w:rsid w:val="00103570"/>
    <w:rsid w:val="00105D64"/>
    <w:rsid w:val="00106A1C"/>
    <w:rsid w:val="00122475"/>
    <w:rsid w:val="00127B92"/>
    <w:rsid w:val="001353E3"/>
    <w:rsid w:val="00137545"/>
    <w:rsid w:val="0013785F"/>
    <w:rsid w:val="00140A77"/>
    <w:rsid w:val="00144951"/>
    <w:rsid w:val="0015169C"/>
    <w:rsid w:val="00157704"/>
    <w:rsid w:val="00161122"/>
    <w:rsid w:val="00167C3F"/>
    <w:rsid w:val="00177244"/>
    <w:rsid w:val="00186328"/>
    <w:rsid w:val="00190F76"/>
    <w:rsid w:val="00192449"/>
    <w:rsid w:val="00195B6C"/>
    <w:rsid w:val="001A2F55"/>
    <w:rsid w:val="001A7376"/>
    <w:rsid w:val="001B47A5"/>
    <w:rsid w:val="001C7D27"/>
    <w:rsid w:val="001D1D55"/>
    <w:rsid w:val="001D7010"/>
    <w:rsid w:val="001E0C56"/>
    <w:rsid w:val="001F1795"/>
    <w:rsid w:val="001F4500"/>
    <w:rsid w:val="001F56AE"/>
    <w:rsid w:val="001F7944"/>
    <w:rsid w:val="00202D6D"/>
    <w:rsid w:val="0020351F"/>
    <w:rsid w:val="00211172"/>
    <w:rsid w:val="0022014B"/>
    <w:rsid w:val="002436D7"/>
    <w:rsid w:val="00243881"/>
    <w:rsid w:val="002575C7"/>
    <w:rsid w:val="002748F5"/>
    <w:rsid w:val="0028593E"/>
    <w:rsid w:val="00290567"/>
    <w:rsid w:val="002B14C2"/>
    <w:rsid w:val="002B50E4"/>
    <w:rsid w:val="002C02D3"/>
    <w:rsid w:val="002C0D02"/>
    <w:rsid w:val="002C4975"/>
    <w:rsid w:val="002D1F95"/>
    <w:rsid w:val="002D6D8C"/>
    <w:rsid w:val="002E6BAF"/>
    <w:rsid w:val="002E701A"/>
    <w:rsid w:val="002E71C6"/>
    <w:rsid w:val="002F5CB1"/>
    <w:rsid w:val="00321C74"/>
    <w:rsid w:val="00322FFB"/>
    <w:rsid w:val="0034365D"/>
    <w:rsid w:val="0036405E"/>
    <w:rsid w:val="003646FC"/>
    <w:rsid w:val="00366AE6"/>
    <w:rsid w:val="00372311"/>
    <w:rsid w:val="00374912"/>
    <w:rsid w:val="00374D8C"/>
    <w:rsid w:val="00376175"/>
    <w:rsid w:val="003813E5"/>
    <w:rsid w:val="003901A3"/>
    <w:rsid w:val="00391C05"/>
    <w:rsid w:val="00396752"/>
    <w:rsid w:val="003A1C95"/>
    <w:rsid w:val="003B2AD4"/>
    <w:rsid w:val="003B3899"/>
    <w:rsid w:val="003B63BB"/>
    <w:rsid w:val="003D32D0"/>
    <w:rsid w:val="003D3407"/>
    <w:rsid w:val="003D36A7"/>
    <w:rsid w:val="003D3992"/>
    <w:rsid w:val="003E1A87"/>
    <w:rsid w:val="003E6136"/>
    <w:rsid w:val="003F09E9"/>
    <w:rsid w:val="003F2504"/>
    <w:rsid w:val="00407456"/>
    <w:rsid w:val="004104A3"/>
    <w:rsid w:val="00420669"/>
    <w:rsid w:val="00421B24"/>
    <w:rsid w:val="004460B8"/>
    <w:rsid w:val="004607BE"/>
    <w:rsid w:val="00470ACE"/>
    <w:rsid w:val="004814DC"/>
    <w:rsid w:val="00481737"/>
    <w:rsid w:val="00490554"/>
    <w:rsid w:val="004922D5"/>
    <w:rsid w:val="00495496"/>
    <w:rsid w:val="004A375C"/>
    <w:rsid w:val="004B0477"/>
    <w:rsid w:val="004B4A7F"/>
    <w:rsid w:val="004B576E"/>
    <w:rsid w:val="004C083E"/>
    <w:rsid w:val="004C2A8B"/>
    <w:rsid w:val="004C6DAD"/>
    <w:rsid w:val="004C7A8F"/>
    <w:rsid w:val="004D0DC7"/>
    <w:rsid w:val="004D61F6"/>
    <w:rsid w:val="004F3BA5"/>
    <w:rsid w:val="004F5C73"/>
    <w:rsid w:val="0051135C"/>
    <w:rsid w:val="005126E8"/>
    <w:rsid w:val="005150CC"/>
    <w:rsid w:val="005218C1"/>
    <w:rsid w:val="00521E42"/>
    <w:rsid w:val="005229BD"/>
    <w:rsid w:val="00540625"/>
    <w:rsid w:val="005527D2"/>
    <w:rsid w:val="00556137"/>
    <w:rsid w:val="0055681A"/>
    <w:rsid w:val="005607A6"/>
    <w:rsid w:val="00560FC4"/>
    <w:rsid w:val="00566BFB"/>
    <w:rsid w:val="0057436D"/>
    <w:rsid w:val="005769FB"/>
    <w:rsid w:val="00585652"/>
    <w:rsid w:val="00591128"/>
    <w:rsid w:val="005971EC"/>
    <w:rsid w:val="005A217C"/>
    <w:rsid w:val="005A2D03"/>
    <w:rsid w:val="005B4AFE"/>
    <w:rsid w:val="005B6A55"/>
    <w:rsid w:val="005B7232"/>
    <w:rsid w:val="005C1FE9"/>
    <w:rsid w:val="005D3D98"/>
    <w:rsid w:val="005D49D8"/>
    <w:rsid w:val="005D4DA1"/>
    <w:rsid w:val="005E10DE"/>
    <w:rsid w:val="005E564C"/>
    <w:rsid w:val="005F30D3"/>
    <w:rsid w:val="005F3414"/>
    <w:rsid w:val="005F35B2"/>
    <w:rsid w:val="005F67DF"/>
    <w:rsid w:val="005F74EF"/>
    <w:rsid w:val="005F7F2B"/>
    <w:rsid w:val="0060233D"/>
    <w:rsid w:val="00604E8F"/>
    <w:rsid w:val="00612CBA"/>
    <w:rsid w:val="00614C2E"/>
    <w:rsid w:val="0063071C"/>
    <w:rsid w:val="006344A3"/>
    <w:rsid w:val="00634C96"/>
    <w:rsid w:val="00637D48"/>
    <w:rsid w:val="00642D0A"/>
    <w:rsid w:val="00650467"/>
    <w:rsid w:val="00650FD7"/>
    <w:rsid w:val="0065132C"/>
    <w:rsid w:val="00652E57"/>
    <w:rsid w:val="00657CBC"/>
    <w:rsid w:val="00661D40"/>
    <w:rsid w:val="00680A96"/>
    <w:rsid w:val="00686A96"/>
    <w:rsid w:val="006A391C"/>
    <w:rsid w:val="006A6647"/>
    <w:rsid w:val="006B5194"/>
    <w:rsid w:val="006C0CE1"/>
    <w:rsid w:val="006C231A"/>
    <w:rsid w:val="006D2284"/>
    <w:rsid w:val="006D60C7"/>
    <w:rsid w:val="006E1F36"/>
    <w:rsid w:val="006F6FF8"/>
    <w:rsid w:val="0070010F"/>
    <w:rsid w:val="00700A1D"/>
    <w:rsid w:val="007048C3"/>
    <w:rsid w:val="007071B5"/>
    <w:rsid w:val="00707C03"/>
    <w:rsid w:val="00731796"/>
    <w:rsid w:val="00732A45"/>
    <w:rsid w:val="007420D5"/>
    <w:rsid w:val="00775CC2"/>
    <w:rsid w:val="00780261"/>
    <w:rsid w:val="007A691D"/>
    <w:rsid w:val="007C631B"/>
    <w:rsid w:val="007D1351"/>
    <w:rsid w:val="007D3A42"/>
    <w:rsid w:val="007E4AB1"/>
    <w:rsid w:val="007F5156"/>
    <w:rsid w:val="008050AC"/>
    <w:rsid w:val="00805F78"/>
    <w:rsid w:val="00807767"/>
    <w:rsid w:val="0081048A"/>
    <w:rsid w:val="0082201D"/>
    <w:rsid w:val="00822EA3"/>
    <w:rsid w:val="00826DE9"/>
    <w:rsid w:val="00830780"/>
    <w:rsid w:val="0084064C"/>
    <w:rsid w:val="0084077D"/>
    <w:rsid w:val="00855235"/>
    <w:rsid w:val="00855D54"/>
    <w:rsid w:val="00856957"/>
    <w:rsid w:val="00865BBC"/>
    <w:rsid w:val="00872731"/>
    <w:rsid w:val="0088132F"/>
    <w:rsid w:val="00882926"/>
    <w:rsid w:val="008A2744"/>
    <w:rsid w:val="008A2A91"/>
    <w:rsid w:val="008B3E90"/>
    <w:rsid w:val="008B7FB7"/>
    <w:rsid w:val="008C0362"/>
    <w:rsid w:val="008D0C18"/>
    <w:rsid w:val="008D2CBE"/>
    <w:rsid w:val="008D2CE9"/>
    <w:rsid w:val="008F19E8"/>
    <w:rsid w:val="008F42AC"/>
    <w:rsid w:val="008F4C55"/>
    <w:rsid w:val="008F605D"/>
    <w:rsid w:val="008F710C"/>
    <w:rsid w:val="008F7392"/>
    <w:rsid w:val="009055AC"/>
    <w:rsid w:val="009068D0"/>
    <w:rsid w:val="00911810"/>
    <w:rsid w:val="00924341"/>
    <w:rsid w:val="00926E98"/>
    <w:rsid w:val="00936CE3"/>
    <w:rsid w:val="00937536"/>
    <w:rsid w:val="0095156F"/>
    <w:rsid w:val="009548A8"/>
    <w:rsid w:val="00957F31"/>
    <w:rsid w:val="00971E54"/>
    <w:rsid w:val="00975EDD"/>
    <w:rsid w:val="009825C8"/>
    <w:rsid w:val="0098291B"/>
    <w:rsid w:val="00986AB2"/>
    <w:rsid w:val="009928D0"/>
    <w:rsid w:val="009945F2"/>
    <w:rsid w:val="00995548"/>
    <w:rsid w:val="009A61F4"/>
    <w:rsid w:val="009A6849"/>
    <w:rsid w:val="009B0F90"/>
    <w:rsid w:val="009B47FB"/>
    <w:rsid w:val="009C0F00"/>
    <w:rsid w:val="009C5FB9"/>
    <w:rsid w:val="009D5C88"/>
    <w:rsid w:val="009D765B"/>
    <w:rsid w:val="009F7598"/>
    <w:rsid w:val="00A07E3E"/>
    <w:rsid w:val="00A119FA"/>
    <w:rsid w:val="00A232DB"/>
    <w:rsid w:val="00A336F8"/>
    <w:rsid w:val="00A3373C"/>
    <w:rsid w:val="00A3557F"/>
    <w:rsid w:val="00A36BC4"/>
    <w:rsid w:val="00A377E2"/>
    <w:rsid w:val="00A41703"/>
    <w:rsid w:val="00A52A8F"/>
    <w:rsid w:val="00A61FB1"/>
    <w:rsid w:val="00A64569"/>
    <w:rsid w:val="00A654D1"/>
    <w:rsid w:val="00A71D6E"/>
    <w:rsid w:val="00A934C8"/>
    <w:rsid w:val="00A957F5"/>
    <w:rsid w:val="00AC5853"/>
    <w:rsid w:val="00AE592F"/>
    <w:rsid w:val="00B00E2A"/>
    <w:rsid w:val="00B02BD5"/>
    <w:rsid w:val="00B05545"/>
    <w:rsid w:val="00B13963"/>
    <w:rsid w:val="00B14C34"/>
    <w:rsid w:val="00B3224C"/>
    <w:rsid w:val="00B34FB2"/>
    <w:rsid w:val="00B5217C"/>
    <w:rsid w:val="00B52919"/>
    <w:rsid w:val="00B5314C"/>
    <w:rsid w:val="00B539B3"/>
    <w:rsid w:val="00B53C74"/>
    <w:rsid w:val="00B57F84"/>
    <w:rsid w:val="00B647F0"/>
    <w:rsid w:val="00B923CE"/>
    <w:rsid w:val="00B94A64"/>
    <w:rsid w:val="00B96128"/>
    <w:rsid w:val="00B96256"/>
    <w:rsid w:val="00BA470B"/>
    <w:rsid w:val="00BA557E"/>
    <w:rsid w:val="00BA74E5"/>
    <w:rsid w:val="00BB703A"/>
    <w:rsid w:val="00BC6D7D"/>
    <w:rsid w:val="00BD395F"/>
    <w:rsid w:val="00BD4C3B"/>
    <w:rsid w:val="00BE5787"/>
    <w:rsid w:val="00BF2B0B"/>
    <w:rsid w:val="00BF6CD3"/>
    <w:rsid w:val="00C01D0F"/>
    <w:rsid w:val="00C06346"/>
    <w:rsid w:val="00C1675D"/>
    <w:rsid w:val="00C219E9"/>
    <w:rsid w:val="00C328BB"/>
    <w:rsid w:val="00C36E5A"/>
    <w:rsid w:val="00C40CE2"/>
    <w:rsid w:val="00C50E98"/>
    <w:rsid w:val="00C610C7"/>
    <w:rsid w:val="00C62FEF"/>
    <w:rsid w:val="00C63317"/>
    <w:rsid w:val="00C7685A"/>
    <w:rsid w:val="00C81218"/>
    <w:rsid w:val="00C86C07"/>
    <w:rsid w:val="00C9093C"/>
    <w:rsid w:val="00C961FB"/>
    <w:rsid w:val="00C97E50"/>
    <w:rsid w:val="00C97EFC"/>
    <w:rsid w:val="00CA5143"/>
    <w:rsid w:val="00CB2865"/>
    <w:rsid w:val="00CB36C3"/>
    <w:rsid w:val="00CD3BC9"/>
    <w:rsid w:val="00CD6058"/>
    <w:rsid w:val="00CE1D96"/>
    <w:rsid w:val="00CE2A08"/>
    <w:rsid w:val="00CE47AA"/>
    <w:rsid w:val="00CF04ED"/>
    <w:rsid w:val="00D03648"/>
    <w:rsid w:val="00D161D3"/>
    <w:rsid w:val="00D17EC4"/>
    <w:rsid w:val="00D27D82"/>
    <w:rsid w:val="00D3229A"/>
    <w:rsid w:val="00D37949"/>
    <w:rsid w:val="00D40D62"/>
    <w:rsid w:val="00D478A8"/>
    <w:rsid w:val="00D52F49"/>
    <w:rsid w:val="00D6010F"/>
    <w:rsid w:val="00D64557"/>
    <w:rsid w:val="00D702AB"/>
    <w:rsid w:val="00D704E1"/>
    <w:rsid w:val="00D71951"/>
    <w:rsid w:val="00D72555"/>
    <w:rsid w:val="00D72CE7"/>
    <w:rsid w:val="00D821B4"/>
    <w:rsid w:val="00D82FD8"/>
    <w:rsid w:val="00D878C3"/>
    <w:rsid w:val="00D9301F"/>
    <w:rsid w:val="00DB47DB"/>
    <w:rsid w:val="00DB57D1"/>
    <w:rsid w:val="00DC22B9"/>
    <w:rsid w:val="00DC2916"/>
    <w:rsid w:val="00DD31A7"/>
    <w:rsid w:val="00DD5726"/>
    <w:rsid w:val="00DD5FF5"/>
    <w:rsid w:val="00DE0611"/>
    <w:rsid w:val="00DE1171"/>
    <w:rsid w:val="00DE6B4C"/>
    <w:rsid w:val="00DF1198"/>
    <w:rsid w:val="00DF3BF6"/>
    <w:rsid w:val="00E14CAC"/>
    <w:rsid w:val="00E16A95"/>
    <w:rsid w:val="00E221B5"/>
    <w:rsid w:val="00E27A55"/>
    <w:rsid w:val="00E30A5E"/>
    <w:rsid w:val="00E35B43"/>
    <w:rsid w:val="00E36B05"/>
    <w:rsid w:val="00E43C8A"/>
    <w:rsid w:val="00E44941"/>
    <w:rsid w:val="00E54CCB"/>
    <w:rsid w:val="00E57172"/>
    <w:rsid w:val="00E70E1C"/>
    <w:rsid w:val="00E800D9"/>
    <w:rsid w:val="00E84735"/>
    <w:rsid w:val="00E91372"/>
    <w:rsid w:val="00E93DDD"/>
    <w:rsid w:val="00E9426A"/>
    <w:rsid w:val="00E948D5"/>
    <w:rsid w:val="00EA25CA"/>
    <w:rsid w:val="00EB307D"/>
    <w:rsid w:val="00EB5218"/>
    <w:rsid w:val="00EC6A54"/>
    <w:rsid w:val="00ED2794"/>
    <w:rsid w:val="00ED3292"/>
    <w:rsid w:val="00ED61BD"/>
    <w:rsid w:val="00ED6773"/>
    <w:rsid w:val="00EE5CA3"/>
    <w:rsid w:val="00EF05C8"/>
    <w:rsid w:val="00EF63D1"/>
    <w:rsid w:val="00F004F1"/>
    <w:rsid w:val="00F00BEE"/>
    <w:rsid w:val="00F02FFD"/>
    <w:rsid w:val="00F261A6"/>
    <w:rsid w:val="00F27279"/>
    <w:rsid w:val="00F31725"/>
    <w:rsid w:val="00F36160"/>
    <w:rsid w:val="00F43259"/>
    <w:rsid w:val="00F44867"/>
    <w:rsid w:val="00F44FDA"/>
    <w:rsid w:val="00F512F5"/>
    <w:rsid w:val="00F62551"/>
    <w:rsid w:val="00F76013"/>
    <w:rsid w:val="00F76AAC"/>
    <w:rsid w:val="00F946FA"/>
    <w:rsid w:val="00F9656A"/>
    <w:rsid w:val="00FA5055"/>
    <w:rsid w:val="00FA6407"/>
    <w:rsid w:val="00FB0CFD"/>
    <w:rsid w:val="00FB3EBD"/>
    <w:rsid w:val="00FB3ECC"/>
    <w:rsid w:val="00FB68A7"/>
    <w:rsid w:val="00FC1DE3"/>
    <w:rsid w:val="00FD0544"/>
    <w:rsid w:val="00FD24B7"/>
    <w:rsid w:val="00FD54DB"/>
    <w:rsid w:val="00FE238E"/>
    <w:rsid w:val="00FE5758"/>
    <w:rsid w:val="00FE5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65B"/>
    <w:pPr>
      <w:tabs>
        <w:tab w:val="center" w:pos="4680"/>
        <w:tab w:val="right" w:pos="9360"/>
      </w:tabs>
    </w:pPr>
  </w:style>
  <w:style w:type="character" w:customStyle="1" w:styleId="HeaderChar">
    <w:name w:val="Header Char"/>
    <w:basedOn w:val="DefaultParagraphFont"/>
    <w:link w:val="Header"/>
    <w:uiPriority w:val="99"/>
    <w:locked/>
    <w:rsid w:val="009D765B"/>
    <w:rPr>
      <w:rFonts w:cs="Times New Roman"/>
      <w:sz w:val="22"/>
      <w:szCs w:val="22"/>
    </w:rPr>
  </w:style>
  <w:style w:type="paragraph" w:styleId="Footer">
    <w:name w:val="footer"/>
    <w:basedOn w:val="Normal"/>
    <w:link w:val="FooterChar"/>
    <w:uiPriority w:val="99"/>
    <w:rsid w:val="009D765B"/>
    <w:pPr>
      <w:tabs>
        <w:tab w:val="center" w:pos="4680"/>
        <w:tab w:val="right" w:pos="9360"/>
      </w:tabs>
    </w:pPr>
  </w:style>
  <w:style w:type="character" w:customStyle="1" w:styleId="FooterChar">
    <w:name w:val="Footer Char"/>
    <w:basedOn w:val="DefaultParagraphFont"/>
    <w:link w:val="Footer"/>
    <w:uiPriority w:val="99"/>
    <w:locked/>
    <w:rsid w:val="009D765B"/>
    <w:rPr>
      <w:rFonts w:cs="Times New Roman"/>
      <w:sz w:val="22"/>
      <w:szCs w:val="22"/>
    </w:rPr>
  </w:style>
  <w:style w:type="paragraph" w:styleId="BalloonText">
    <w:name w:val="Balloon Text"/>
    <w:basedOn w:val="Normal"/>
    <w:link w:val="BalloonTextChar"/>
    <w:uiPriority w:val="99"/>
    <w:semiHidden/>
    <w:rsid w:val="003E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A87"/>
    <w:rPr>
      <w:rFonts w:ascii="Tahoma" w:hAnsi="Tahoma" w:cs="Tahoma"/>
      <w:sz w:val="16"/>
      <w:szCs w:val="16"/>
    </w:rPr>
  </w:style>
  <w:style w:type="character" w:styleId="CommentReference">
    <w:name w:val="annotation reference"/>
    <w:basedOn w:val="DefaultParagraphFont"/>
    <w:uiPriority w:val="99"/>
    <w:semiHidden/>
    <w:rsid w:val="00E54CCB"/>
    <w:rPr>
      <w:rFonts w:cs="Times New Roman"/>
      <w:sz w:val="16"/>
      <w:szCs w:val="16"/>
    </w:rPr>
  </w:style>
  <w:style w:type="paragraph" w:styleId="CommentText">
    <w:name w:val="annotation text"/>
    <w:basedOn w:val="Normal"/>
    <w:link w:val="CommentTextChar"/>
    <w:uiPriority w:val="99"/>
    <w:semiHidden/>
    <w:rsid w:val="00E54CCB"/>
    <w:rPr>
      <w:sz w:val="20"/>
      <w:szCs w:val="20"/>
    </w:rPr>
  </w:style>
  <w:style w:type="character" w:customStyle="1" w:styleId="CommentTextChar">
    <w:name w:val="Comment Text Char"/>
    <w:basedOn w:val="DefaultParagraphFont"/>
    <w:link w:val="CommentText"/>
    <w:uiPriority w:val="99"/>
    <w:semiHidden/>
    <w:locked/>
    <w:rsid w:val="00E54CCB"/>
    <w:rPr>
      <w:rFonts w:cs="Times New Roman"/>
    </w:rPr>
  </w:style>
  <w:style w:type="paragraph" w:styleId="CommentSubject">
    <w:name w:val="annotation subject"/>
    <w:basedOn w:val="CommentText"/>
    <w:next w:val="CommentText"/>
    <w:link w:val="CommentSubjectChar"/>
    <w:uiPriority w:val="99"/>
    <w:semiHidden/>
    <w:rsid w:val="00E54CCB"/>
    <w:rPr>
      <w:b/>
      <w:bCs/>
    </w:rPr>
  </w:style>
  <w:style w:type="character" w:customStyle="1" w:styleId="CommentSubjectChar">
    <w:name w:val="Comment Subject Char"/>
    <w:basedOn w:val="CommentTextChar"/>
    <w:link w:val="CommentSubject"/>
    <w:uiPriority w:val="99"/>
    <w:semiHidden/>
    <w:locked/>
    <w:rsid w:val="00E54CCB"/>
    <w:rPr>
      <w:b/>
      <w:bCs/>
    </w:rPr>
  </w:style>
  <w:style w:type="paragraph" w:styleId="ListParagraph">
    <w:name w:val="List Paragraph"/>
    <w:basedOn w:val="Normal"/>
    <w:link w:val="ListParagraphChar"/>
    <w:uiPriority w:val="34"/>
    <w:qFormat/>
    <w:rsid w:val="006344A3"/>
    <w:pPr>
      <w:ind w:left="720"/>
      <w:contextualSpacing/>
    </w:pPr>
  </w:style>
  <w:style w:type="character" w:customStyle="1" w:styleId="ListParagraphChar">
    <w:name w:val="List Paragraph Char"/>
    <w:basedOn w:val="DefaultParagraphFont"/>
    <w:link w:val="ListParagraph"/>
    <w:uiPriority w:val="99"/>
    <w:locked/>
    <w:rsid w:val="00E36B05"/>
    <w:rPr>
      <w:rFonts w:cs="Times New Roman"/>
      <w:sz w:val="22"/>
      <w:szCs w:val="22"/>
    </w:rPr>
  </w:style>
  <w:style w:type="table" w:styleId="TableGrid">
    <w:name w:val="Table Grid"/>
    <w:basedOn w:val="TableNormal"/>
    <w:locked/>
    <w:rsid w:val="00ED27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0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611"/>
    <w:rPr>
      <w:sz w:val="20"/>
      <w:szCs w:val="20"/>
    </w:rPr>
  </w:style>
  <w:style w:type="character" w:styleId="FootnoteReference">
    <w:name w:val="footnote reference"/>
    <w:basedOn w:val="DefaultParagraphFont"/>
    <w:uiPriority w:val="99"/>
    <w:semiHidden/>
    <w:unhideWhenUsed/>
    <w:rsid w:val="00DE0611"/>
    <w:rPr>
      <w:vertAlign w:val="superscript"/>
    </w:rPr>
  </w:style>
</w:styles>
</file>

<file path=word/webSettings.xml><?xml version="1.0" encoding="utf-8"?>
<w:webSettings xmlns:r="http://schemas.openxmlformats.org/officeDocument/2006/relationships" xmlns:w="http://schemas.openxmlformats.org/wordprocessingml/2006/main">
  <w:divs>
    <w:div w:id="214238161">
      <w:bodyDiv w:val="1"/>
      <w:marLeft w:val="0"/>
      <w:marRight w:val="0"/>
      <w:marTop w:val="0"/>
      <w:marBottom w:val="0"/>
      <w:divBdr>
        <w:top w:val="none" w:sz="0" w:space="0" w:color="auto"/>
        <w:left w:val="none" w:sz="0" w:space="0" w:color="auto"/>
        <w:bottom w:val="none" w:sz="0" w:space="0" w:color="auto"/>
        <w:right w:val="none" w:sz="0" w:space="0" w:color="auto"/>
      </w:divBdr>
    </w:div>
    <w:div w:id="219173718">
      <w:bodyDiv w:val="1"/>
      <w:marLeft w:val="0"/>
      <w:marRight w:val="0"/>
      <w:marTop w:val="0"/>
      <w:marBottom w:val="0"/>
      <w:divBdr>
        <w:top w:val="none" w:sz="0" w:space="0" w:color="auto"/>
        <w:left w:val="none" w:sz="0" w:space="0" w:color="auto"/>
        <w:bottom w:val="none" w:sz="0" w:space="0" w:color="auto"/>
        <w:right w:val="none" w:sz="0" w:space="0" w:color="auto"/>
      </w:divBdr>
    </w:div>
    <w:div w:id="338582035">
      <w:bodyDiv w:val="1"/>
      <w:marLeft w:val="0"/>
      <w:marRight w:val="0"/>
      <w:marTop w:val="0"/>
      <w:marBottom w:val="0"/>
      <w:divBdr>
        <w:top w:val="none" w:sz="0" w:space="0" w:color="auto"/>
        <w:left w:val="none" w:sz="0" w:space="0" w:color="auto"/>
        <w:bottom w:val="none" w:sz="0" w:space="0" w:color="auto"/>
        <w:right w:val="none" w:sz="0" w:space="0" w:color="auto"/>
      </w:divBdr>
    </w:div>
    <w:div w:id="396326072">
      <w:bodyDiv w:val="1"/>
      <w:marLeft w:val="0"/>
      <w:marRight w:val="0"/>
      <w:marTop w:val="0"/>
      <w:marBottom w:val="0"/>
      <w:divBdr>
        <w:top w:val="none" w:sz="0" w:space="0" w:color="auto"/>
        <w:left w:val="none" w:sz="0" w:space="0" w:color="auto"/>
        <w:bottom w:val="none" w:sz="0" w:space="0" w:color="auto"/>
        <w:right w:val="none" w:sz="0" w:space="0" w:color="auto"/>
      </w:divBdr>
    </w:div>
    <w:div w:id="513421978">
      <w:bodyDiv w:val="1"/>
      <w:marLeft w:val="0"/>
      <w:marRight w:val="0"/>
      <w:marTop w:val="0"/>
      <w:marBottom w:val="0"/>
      <w:divBdr>
        <w:top w:val="none" w:sz="0" w:space="0" w:color="auto"/>
        <w:left w:val="none" w:sz="0" w:space="0" w:color="auto"/>
        <w:bottom w:val="none" w:sz="0" w:space="0" w:color="auto"/>
        <w:right w:val="none" w:sz="0" w:space="0" w:color="auto"/>
      </w:divBdr>
    </w:div>
    <w:div w:id="536352667">
      <w:marLeft w:val="0"/>
      <w:marRight w:val="0"/>
      <w:marTop w:val="0"/>
      <w:marBottom w:val="0"/>
      <w:divBdr>
        <w:top w:val="none" w:sz="0" w:space="0" w:color="auto"/>
        <w:left w:val="none" w:sz="0" w:space="0" w:color="auto"/>
        <w:bottom w:val="none" w:sz="0" w:space="0" w:color="auto"/>
        <w:right w:val="none" w:sz="0" w:space="0" w:color="auto"/>
      </w:divBdr>
      <w:divsChild>
        <w:div w:id="536352665">
          <w:marLeft w:val="547"/>
          <w:marRight w:val="0"/>
          <w:marTop w:val="173"/>
          <w:marBottom w:val="0"/>
          <w:divBdr>
            <w:top w:val="none" w:sz="0" w:space="0" w:color="auto"/>
            <w:left w:val="none" w:sz="0" w:space="0" w:color="auto"/>
            <w:bottom w:val="none" w:sz="0" w:space="0" w:color="auto"/>
            <w:right w:val="none" w:sz="0" w:space="0" w:color="auto"/>
          </w:divBdr>
        </w:div>
        <w:div w:id="536352666">
          <w:marLeft w:val="547"/>
          <w:marRight w:val="0"/>
          <w:marTop w:val="173"/>
          <w:marBottom w:val="0"/>
          <w:divBdr>
            <w:top w:val="none" w:sz="0" w:space="0" w:color="auto"/>
            <w:left w:val="none" w:sz="0" w:space="0" w:color="auto"/>
            <w:bottom w:val="none" w:sz="0" w:space="0" w:color="auto"/>
            <w:right w:val="none" w:sz="0" w:space="0" w:color="auto"/>
          </w:divBdr>
        </w:div>
        <w:div w:id="536352670">
          <w:marLeft w:val="547"/>
          <w:marRight w:val="0"/>
          <w:marTop w:val="173"/>
          <w:marBottom w:val="0"/>
          <w:divBdr>
            <w:top w:val="none" w:sz="0" w:space="0" w:color="auto"/>
            <w:left w:val="none" w:sz="0" w:space="0" w:color="auto"/>
            <w:bottom w:val="none" w:sz="0" w:space="0" w:color="auto"/>
            <w:right w:val="none" w:sz="0" w:space="0" w:color="auto"/>
          </w:divBdr>
        </w:div>
      </w:divsChild>
    </w:div>
    <w:div w:id="536352669">
      <w:marLeft w:val="0"/>
      <w:marRight w:val="0"/>
      <w:marTop w:val="0"/>
      <w:marBottom w:val="0"/>
      <w:divBdr>
        <w:top w:val="none" w:sz="0" w:space="0" w:color="auto"/>
        <w:left w:val="none" w:sz="0" w:space="0" w:color="auto"/>
        <w:bottom w:val="none" w:sz="0" w:space="0" w:color="auto"/>
        <w:right w:val="none" w:sz="0" w:space="0" w:color="auto"/>
      </w:divBdr>
      <w:divsChild>
        <w:div w:id="536352668">
          <w:marLeft w:val="547"/>
          <w:marRight w:val="0"/>
          <w:marTop w:val="173"/>
          <w:marBottom w:val="0"/>
          <w:divBdr>
            <w:top w:val="none" w:sz="0" w:space="0" w:color="auto"/>
            <w:left w:val="none" w:sz="0" w:space="0" w:color="auto"/>
            <w:bottom w:val="none" w:sz="0" w:space="0" w:color="auto"/>
            <w:right w:val="none" w:sz="0" w:space="0" w:color="auto"/>
          </w:divBdr>
        </w:div>
        <w:div w:id="536352671">
          <w:marLeft w:val="547"/>
          <w:marRight w:val="0"/>
          <w:marTop w:val="173"/>
          <w:marBottom w:val="0"/>
          <w:divBdr>
            <w:top w:val="none" w:sz="0" w:space="0" w:color="auto"/>
            <w:left w:val="none" w:sz="0" w:space="0" w:color="auto"/>
            <w:bottom w:val="none" w:sz="0" w:space="0" w:color="auto"/>
            <w:right w:val="none" w:sz="0" w:space="0" w:color="auto"/>
          </w:divBdr>
        </w:div>
      </w:divsChild>
    </w:div>
    <w:div w:id="564920638">
      <w:bodyDiv w:val="1"/>
      <w:marLeft w:val="0"/>
      <w:marRight w:val="0"/>
      <w:marTop w:val="0"/>
      <w:marBottom w:val="0"/>
      <w:divBdr>
        <w:top w:val="none" w:sz="0" w:space="0" w:color="auto"/>
        <w:left w:val="none" w:sz="0" w:space="0" w:color="auto"/>
        <w:bottom w:val="none" w:sz="0" w:space="0" w:color="auto"/>
        <w:right w:val="none" w:sz="0" w:space="0" w:color="auto"/>
      </w:divBdr>
    </w:div>
    <w:div w:id="1208447943">
      <w:bodyDiv w:val="1"/>
      <w:marLeft w:val="0"/>
      <w:marRight w:val="0"/>
      <w:marTop w:val="0"/>
      <w:marBottom w:val="0"/>
      <w:divBdr>
        <w:top w:val="none" w:sz="0" w:space="0" w:color="auto"/>
        <w:left w:val="none" w:sz="0" w:space="0" w:color="auto"/>
        <w:bottom w:val="none" w:sz="0" w:space="0" w:color="auto"/>
        <w:right w:val="none" w:sz="0" w:space="0" w:color="auto"/>
      </w:divBdr>
    </w:div>
    <w:div w:id="1387221893">
      <w:bodyDiv w:val="1"/>
      <w:marLeft w:val="0"/>
      <w:marRight w:val="0"/>
      <w:marTop w:val="0"/>
      <w:marBottom w:val="0"/>
      <w:divBdr>
        <w:top w:val="none" w:sz="0" w:space="0" w:color="auto"/>
        <w:left w:val="none" w:sz="0" w:space="0" w:color="auto"/>
        <w:bottom w:val="none" w:sz="0" w:space="0" w:color="auto"/>
        <w:right w:val="none" w:sz="0" w:space="0" w:color="auto"/>
      </w:divBdr>
    </w:div>
    <w:div w:id="1765151528">
      <w:bodyDiv w:val="1"/>
      <w:marLeft w:val="0"/>
      <w:marRight w:val="0"/>
      <w:marTop w:val="0"/>
      <w:marBottom w:val="0"/>
      <w:divBdr>
        <w:top w:val="none" w:sz="0" w:space="0" w:color="auto"/>
        <w:left w:val="none" w:sz="0" w:space="0" w:color="auto"/>
        <w:bottom w:val="none" w:sz="0" w:space="0" w:color="auto"/>
        <w:right w:val="none" w:sz="0" w:space="0" w:color="auto"/>
      </w:divBdr>
    </w:div>
    <w:div w:id="1784299125">
      <w:bodyDiv w:val="1"/>
      <w:marLeft w:val="0"/>
      <w:marRight w:val="0"/>
      <w:marTop w:val="0"/>
      <w:marBottom w:val="0"/>
      <w:divBdr>
        <w:top w:val="none" w:sz="0" w:space="0" w:color="auto"/>
        <w:left w:val="none" w:sz="0" w:space="0" w:color="auto"/>
        <w:bottom w:val="none" w:sz="0" w:space="0" w:color="auto"/>
        <w:right w:val="none" w:sz="0" w:space="0" w:color="auto"/>
      </w:divBdr>
    </w:div>
    <w:div w:id="1808743057">
      <w:bodyDiv w:val="1"/>
      <w:marLeft w:val="0"/>
      <w:marRight w:val="0"/>
      <w:marTop w:val="0"/>
      <w:marBottom w:val="0"/>
      <w:divBdr>
        <w:top w:val="none" w:sz="0" w:space="0" w:color="auto"/>
        <w:left w:val="none" w:sz="0" w:space="0" w:color="auto"/>
        <w:bottom w:val="none" w:sz="0" w:space="0" w:color="auto"/>
        <w:right w:val="none" w:sz="0" w:space="0" w:color="auto"/>
      </w:divBdr>
    </w:div>
    <w:div w:id="1857618987">
      <w:bodyDiv w:val="1"/>
      <w:marLeft w:val="0"/>
      <w:marRight w:val="0"/>
      <w:marTop w:val="0"/>
      <w:marBottom w:val="0"/>
      <w:divBdr>
        <w:top w:val="none" w:sz="0" w:space="0" w:color="auto"/>
        <w:left w:val="none" w:sz="0" w:space="0" w:color="auto"/>
        <w:bottom w:val="none" w:sz="0" w:space="0" w:color="auto"/>
        <w:right w:val="none" w:sz="0" w:space="0" w:color="auto"/>
      </w:divBdr>
    </w:div>
    <w:div w:id="2007703032">
      <w:bodyDiv w:val="1"/>
      <w:marLeft w:val="0"/>
      <w:marRight w:val="0"/>
      <w:marTop w:val="0"/>
      <w:marBottom w:val="0"/>
      <w:divBdr>
        <w:top w:val="none" w:sz="0" w:space="0" w:color="auto"/>
        <w:left w:val="none" w:sz="0" w:space="0" w:color="auto"/>
        <w:bottom w:val="none" w:sz="0" w:space="0" w:color="auto"/>
        <w:right w:val="none" w:sz="0" w:space="0" w:color="auto"/>
      </w:divBdr>
    </w:div>
    <w:div w:id="21290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234B-CDA5-4F10-9B19-E837472E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Overarching Purpose</vt:lpstr>
    </vt:vector>
  </TitlesOfParts>
  <Company>Your Company Name</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Overarching Purpose</dc:title>
  <dc:creator>Your User Name</dc:creator>
  <cp:lastModifiedBy>VMonteir</cp:lastModifiedBy>
  <cp:revision>2</cp:revision>
  <cp:lastPrinted>2013-01-10T07:29:00Z</cp:lastPrinted>
  <dcterms:created xsi:type="dcterms:W3CDTF">2013-12-11T07:49:00Z</dcterms:created>
  <dcterms:modified xsi:type="dcterms:W3CDTF">2013-12-11T07:49:00Z</dcterms:modified>
</cp:coreProperties>
</file>